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30"/>
          <w:szCs w:val="30"/>
          <w:lang w:val="en-US"/>
        </w:rPr>
      </w:pPr>
      <w:bookmarkStart w:id="0" w:name="_GoBack"/>
      <w:bookmarkEnd w:id="0"/>
      <w:r>
        <w:rPr>
          <w:rFonts w:cs="Arial"/>
          <w:b/>
          <w:sz w:val="32"/>
          <w:szCs w:val="32"/>
          <w:lang w:val="en-US"/>
        </w:rPr>
        <w:t xml:space="preserve">Information on minimum income benefits in Tyrol </w:t>
        <w:br/>
        <w:t>(Mindestsicherung)</w:t>
      </w:r>
      <w:r>
        <w:rPr>
          <w:lang w:val="en-US"/>
        </w:rPr>
        <w:br/>
      </w:r>
      <w:r>
        <w:rPr>
          <w:sz w:val="22"/>
          <w:szCs w:val="22"/>
          <w:lang w:val="en-US"/>
        </w:rPr>
        <w:t>www.mindestsicherungtirol.at</w:t>
      </w:r>
      <w:r>
        <w:rPr>
          <w:sz w:val="30"/>
          <w:szCs w:val="30"/>
          <w:lang w:val="en-US"/>
        </w:rPr>
        <w:br/>
      </w:r>
    </w:p>
    <w:p>
      <w:pPr>
        <w:pStyle w:val="Normal"/>
        <w:rPr>
          <w:b/>
          <w:b/>
          <w:lang w:val="en-US"/>
        </w:rPr>
      </w:pPr>
      <w:r>
        <w:rPr>
          <w:b/>
          <w:lang w:val="en-US"/>
        </w:rPr>
      </w:r>
    </w:p>
    <w:tbl>
      <w:tblPr>
        <w:tblW w:w="10344" w:type="dxa"/>
        <w:jc w:val="left"/>
        <w:tblInd w:w="0" w:type="dxa"/>
        <w:tblLayout w:type="fixed"/>
        <w:tblCellMar>
          <w:top w:w="0" w:type="dxa"/>
          <w:left w:w="70" w:type="dxa"/>
          <w:bottom w:w="0" w:type="dxa"/>
          <w:right w:w="70" w:type="dxa"/>
        </w:tblCellMar>
        <w:tblLook w:val="0000" w:noHBand="0" w:noVBand="0" w:firstColumn="0" w:lastRow="0" w:lastColumn="0" w:firstRow="0"/>
      </w:tblPr>
      <w:tblGrid>
        <w:gridCol w:w="4888"/>
        <w:gridCol w:w="569"/>
        <w:gridCol w:w="4887"/>
      </w:tblGrid>
      <w:tr>
        <w:trPr/>
        <w:tc>
          <w:tcPr>
            <w:tcW w:w="4888" w:type="dxa"/>
            <w:tcBorders/>
          </w:tcPr>
          <w:p>
            <w:pPr>
              <w:pStyle w:val="Normal"/>
              <w:widowControl w:val="false"/>
              <w:tabs>
                <w:tab w:val="clear" w:pos="708"/>
                <w:tab w:val="left" w:pos="227" w:leader="none"/>
              </w:tabs>
              <w:spacing w:before="0" w:after="60"/>
              <w:jc w:val="both"/>
              <w:rPr>
                <w:b/>
                <w:b/>
                <w:sz w:val="22"/>
                <w:szCs w:val="22"/>
                <w:lang w:val="en-US"/>
              </w:rPr>
            </w:pPr>
            <w:r>
              <w:rPr>
                <w:b/>
                <w:sz w:val="22"/>
                <w:szCs w:val="22"/>
                <w:lang w:val="en-US"/>
              </w:rPr>
              <w:t>Who is entitled to minimum income benefits?</w:t>
            </w:r>
          </w:p>
          <w:p>
            <w:pPr>
              <w:pStyle w:val="Normal"/>
              <w:widowControl w:val="false"/>
              <w:spacing w:before="0" w:after="60"/>
              <w:jc w:val="both"/>
              <w:rPr>
                <w:rFonts w:cs="Arial"/>
                <w:szCs w:val="20"/>
                <w:lang w:val="en-US"/>
              </w:rPr>
            </w:pPr>
            <w:r>
              <w:rPr>
                <w:rFonts w:cs="Arial"/>
                <w:szCs w:val="20"/>
                <w:lang w:val="en-US"/>
              </w:rPr>
              <w:t>Anyone who is about to face (financial) distress, is in the middle of it, or just coming out of it and is in need of support to secure the means of subsistence and to cover the costs for housing – this can apply to</w:t>
            </w:r>
            <w:r>
              <w:rPr>
                <w:lang w:val="en-US"/>
              </w:rPr>
              <w:t>:</w:t>
            </w:r>
          </w:p>
          <w:p>
            <w:pPr>
              <w:pStyle w:val="ListParagraph"/>
              <w:widowControl w:val="false"/>
              <w:numPr>
                <w:ilvl w:val="0"/>
                <w:numId w:val="2"/>
              </w:numPr>
              <w:jc w:val="both"/>
              <w:rPr>
                <w:rFonts w:cs="Arial"/>
                <w:szCs w:val="20"/>
                <w:lang w:val="en-US"/>
              </w:rPr>
            </w:pPr>
            <w:r>
              <w:rPr>
                <w:rFonts w:cs="Arial"/>
                <w:szCs w:val="20"/>
                <w:lang w:val="en-US"/>
              </w:rPr>
              <w:t xml:space="preserve">persons who are not or not sufficiently able to raise the resources for subsistence through own efforts (e.g. anyone who cannot find a job, who is </w:t>
            </w:r>
            <w:r>
              <w:rPr>
                <w:rFonts w:cs="Arial"/>
                <w:color w:val="000000" w:themeColor="text1"/>
                <w:szCs w:val="20"/>
                <w:lang w:val="en-US"/>
              </w:rPr>
              <w:t>ill etc.</w:t>
            </w:r>
            <w:r>
              <w:rPr>
                <w:rFonts w:cs="Arial"/>
                <w:szCs w:val="20"/>
                <w:lang w:val="en-US"/>
              </w:rPr>
              <w:t>) and</w:t>
            </w:r>
          </w:p>
          <w:p>
            <w:pPr>
              <w:pStyle w:val="Normal"/>
              <w:widowControl w:val="false"/>
              <w:numPr>
                <w:ilvl w:val="0"/>
                <w:numId w:val="2"/>
              </w:numPr>
              <w:spacing w:before="0" w:after="120"/>
              <w:jc w:val="both"/>
              <w:rPr>
                <w:lang w:val="en-US"/>
              </w:rPr>
            </w:pPr>
            <w:r>
              <w:rPr>
                <w:rFonts w:cs="Arial"/>
                <w:szCs w:val="20"/>
                <w:lang w:val="en-US"/>
              </w:rPr>
              <w:t xml:space="preserve">persons whose income is below minimum income benefit levels (e.g. wage, pension, emergency unemployment assistance [Notstandshilfe], unemployment or </w:t>
            </w:r>
            <w:r>
              <w:rPr>
                <w:rFonts w:cs="Arial"/>
                <w:color w:val="000000" w:themeColor="text1"/>
                <w:szCs w:val="20"/>
                <w:lang w:val="en-US"/>
              </w:rPr>
              <w:t>sickness</w:t>
            </w:r>
            <w:r>
              <w:rPr>
                <w:rFonts w:cs="Arial"/>
                <w:szCs w:val="20"/>
                <w:lang w:val="en-US"/>
              </w:rPr>
              <w:t xml:space="preserve"> benefits, etc.).</w:t>
            </w:r>
          </w:p>
          <w:p>
            <w:pPr>
              <w:pStyle w:val="Normal"/>
              <w:widowControl w:val="false"/>
              <w:tabs>
                <w:tab w:val="clear" w:pos="708"/>
                <w:tab w:val="left" w:pos="227" w:leader="none"/>
              </w:tabs>
              <w:spacing w:lineRule="atLeast" w:line="260"/>
              <w:jc w:val="both"/>
              <w:rPr>
                <w:b/>
                <w:b/>
                <w:sz w:val="22"/>
                <w:szCs w:val="22"/>
                <w:lang w:val="en-US"/>
              </w:rPr>
            </w:pPr>
            <w:r>
              <w:rPr>
                <w:b/>
                <w:sz w:val="22"/>
                <w:szCs w:val="22"/>
                <w:lang w:val="en-US"/>
              </w:rPr>
              <w:t>Expenses</w:t>
            </w:r>
          </w:p>
          <w:p>
            <w:pPr>
              <w:pStyle w:val="Normal"/>
              <w:widowControl w:val="false"/>
              <w:spacing w:before="0" w:after="120"/>
              <w:jc w:val="both"/>
              <w:rPr>
                <w:rFonts w:cs="Arial"/>
                <w:szCs w:val="20"/>
                <w:lang w:val="en-US"/>
              </w:rPr>
            </w:pPr>
            <w:r>
              <w:rPr>
                <w:rFonts w:cs="Arial"/>
                <w:szCs w:val="20"/>
                <w:lang w:val="en-US"/>
              </w:rPr>
              <w:t>Rent, operating and heating costs (only up to a certain amount, see page 4) as well as seized income are recognised as expenses.</w:t>
            </w:r>
          </w:p>
          <w:p>
            <w:pPr>
              <w:pStyle w:val="Normal"/>
              <w:widowControl w:val="false"/>
              <w:tabs>
                <w:tab w:val="clear" w:pos="708"/>
                <w:tab w:val="left" w:pos="227" w:leader="none"/>
              </w:tabs>
              <w:spacing w:lineRule="atLeast" w:line="260"/>
              <w:jc w:val="both"/>
              <w:rPr>
                <w:b/>
                <w:b/>
                <w:sz w:val="22"/>
                <w:szCs w:val="22"/>
                <w:lang w:val="en-US"/>
              </w:rPr>
            </w:pPr>
            <w:r>
              <w:rPr>
                <w:b/>
                <w:sz w:val="22"/>
                <w:szCs w:val="22"/>
                <w:lang w:val="en-US"/>
              </w:rPr>
              <w:t>Income</w:t>
            </w:r>
          </w:p>
          <w:p>
            <w:pPr>
              <w:pStyle w:val="Normal"/>
              <w:widowControl w:val="false"/>
              <w:tabs>
                <w:tab w:val="clear" w:pos="708"/>
                <w:tab w:val="left" w:pos="227" w:leader="none"/>
              </w:tabs>
              <w:spacing w:before="0" w:after="60"/>
              <w:jc w:val="both"/>
              <w:rPr>
                <w:lang w:val="en-US"/>
              </w:rPr>
            </w:pPr>
            <w:r>
              <w:rPr>
                <w:rFonts w:cs="Arial"/>
                <w:szCs w:val="20"/>
                <w:lang w:val="en-US"/>
              </w:rPr>
              <w:t>A certain amount of income and assets may not be taken into account when calculating the entitlement to minimum income benefits, e.g.:</w:t>
            </w:r>
          </w:p>
          <w:p>
            <w:pPr>
              <w:pStyle w:val="ListParagraph"/>
              <w:widowControl w:val="false"/>
              <w:numPr>
                <w:ilvl w:val="0"/>
                <w:numId w:val="2"/>
              </w:numPr>
              <w:jc w:val="both"/>
              <w:rPr>
                <w:rFonts w:cs="Arial"/>
                <w:szCs w:val="20"/>
                <w:lang w:val="en-US"/>
              </w:rPr>
            </w:pPr>
            <w:r>
              <w:rPr>
                <w:rFonts w:cs="Arial"/>
                <w:szCs w:val="20"/>
                <w:lang w:val="en-US"/>
              </w:rPr>
              <w:t>(increased) family allowance</w:t>
            </w:r>
          </w:p>
          <w:p>
            <w:pPr>
              <w:pStyle w:val="ListParagraph"/>
              <w:widowControl w:val="false"/>
              <w:numPr>
                <w:ilvl w:val="0"/>
                <w:numId w:val="2"/>
              </w:numPr>
              <w:jc w:val="both"/>
              <w:rPr>
                <w:rFonts w:cs="Arial"/>
                <w:szCs w:val="20"/>
                <w:lang w:val="en-US"/>
              </w:rPr>
            </w:pPr>
            <w:r>
              <w:rPr>
                <w:rFonts w:cs="Arial"/>
                <w:szCs w:val="20"/>
                <w:lang w:val="en-US"/>
              </w:rPr>
              <w:t xml:space="preserve">long-term care benefits </w:t>
            </w:r>
          </w:p>
          <w:p>
            <w:pPr>
              <w:pStyle w:val="ListParagraph"/>
              <w:widowControl w:val="false"/>
              <w:numPr>
                <w:ilvl w:val="0"/>
                <w:numId w:val="2"/>
              </w:numPr>
              <w:jc w:val="both"/>
              <w:rPr>
                <w:rFonts w:cs="Arial"/>
                <w:szCs w:val="20"/>
                <w:lang w:val="en-US"/>
              </w:rPr>
            </w:pPr>
            <w:r>
              <w:rPr>
                <w:rFonts w:cs="Arial"/>
                <w:szCs w:val="20"/>
                <w:lang w:val="en-US"/>
              </w:rPr>
              <w:t>allowances for earned income (see page 5)</w:t>
            </w:r>
          </w:p>
          <w:p>
            <w:pPr>
              <w:pStyle w:val="ListParagraph"/>
              <w:widowControl w:val="false"/>
              <w:ind w:left="360" w:hanging="0"/>
              <w:jc w:val="both"/>
              <w:rPr>
                <w:rFonts w:cs="Arial"/>
                <w:szCs w:val="20"/>
                <w:lang w:val="en-US"/>
              </w:rPr>
            </w:pPr>
            <w:r>
              <w:rPr>
                <w:rFonts w:cs="Arial"/>
                <w:szCs w:val="20"/>
                <w:lang w:val="en-US"/>
              </w:rPr>
              <w:t>- for single parents who are looking after at least one child of preschool or compulsory school age and simultaneously holding down a job or persons of higher age or with decreased working ability who are holding down a job</w:t>
            </w:r>
            <w:r>
              <w:rPr>
                <w:rFonts w:cs="Arial"/>
                <w:color w:val="FFFFFF" w:themeColor="background1"/>
                <w:szCs w:val="20"/>
                <w:lang w:val="en-US"/>
              </w:rPr>
              <w:t>.</w:t>
            </w:r>
            <w:r>
              <w:rPr>
                <w:rFonts w:cs="Arial"/>
                <w:szCs w:val="20"/>
                <w:lang w:val="en-US"/>
              </w:rPr>
              <w:t>........</w:t>
            </w:r>
            <w:r>
              <w:rPr>
                <w:rFonts w:cs="Arial"/>
                <w:color w:val="FFFFFF" w:themeColor="background1"/>
                <w:szCs w:val="20"/>
                <w:lang w:val="en-US"/>
              </w:rPr>
              <w:t>.</w:t>
            </w:r>
            <w:r>
              <w:rPr>
                <w:rFonts w:cs="Arial"/>
                <w:szCs w:val="20"/>
                <w:lang w:val="en-US"/>
              </w:rPr>
              <w:t>€ 346.75</w:t>
            </w:r>
          </w:p>
          <w:p>
            <w:pPr>
              <w:pStyle w:val="ListParagraph"/>
              <w:widowControl w:val="false"/>
              <w:numPr>
                <w:ilvl w:val="0"/>
                <w:numId w:val="2"/>
              </w:numPr>
              <w:jc w:val="both"/>
              <w:rPr>
                <w:rFonts w:cs="Arial"/>
                <w:szCs w:val="20"/>
                <w:lang w:val="en-US"/>
              </w:rPr>
            </w:pPr>
            <w:r>
              <w:rPr>
                <w:rFonts w:cs="Arial"/>
                <w:szCs w:val="20"/>
                <w:lang w:val="en-US"/>
              </w:rPr>
              <w:t xml:space="preserve">subsidies of third parties that are received voluntarily and not regularly and do not exceed half of the respective minimum benefit level </w:t>
            </w:r>
          </w:p>
          <w:p>
            <w:pPr>
              <w:pStyle w:val="ListParagraph"/>
              <w:widowControl w:val="false"/>
              <w:numPr>
                <w:ilvl w:val="0"/>
                <w:numId w:val="2"/>
              </w:numPr>
              <w:jc w:val="both"/>
              <w:rPr>
                <w:rFonts w:cs="Arial"/>
                <w:szCs w:val="20"/>
                <w:lang w:val="en-US"/>
              </w:rPr>
            </w:pPr>
            <w:r>
              <w:rPr>
                <w:rFonts w:cs="Arial"/>
                <w:szCs w:val="20"/>
                <w:lang w:val="en-US"/>
              </w:rPr>
              <w:t xml:space="preserve">compensation payments and pension benefits for victims of abuse </w:t>
            </w:r>
          </w:p>
          <w:p>
            <w:pPr>
              <w:pStyle w:val="ListParagraph"/>
              <w:widowControl w:val="false"/>
              <w:numPr>
                <w:ilvl w:val="0"/>
                <w:numId w:val="2"/>
              </w:numPr>
              <w:jc w:val="both"/>
              <w:rPr>
                <w:rFonts w:cs="Arial"/>
                <w:szCs w:val="20"/>
                <w:lang w:val="en-US"/>
              </w:rPr>
            </w:pPr>
            <w:r>
              <w:rPr>
                <w:rFonts w:cs="Arial"/>
                <w:szCs w:val="20"/>
                <w:lang w:val="en-US"/>
              </w:rPr>
              <w:t>savings up to</w:t>
            </w:r>
            <w:r>
              <w:rPr>
                <w:rFonts w:cs="Arial"/>
                <w:color w:val="FFFFFF" w:themeColor="background1"/>
                <w:szCs w:val="20"/>
                <w:lang w:val="en-US"/>
              </w:rPr>
              <w:t>.</w:t>
            </w:r>
            <w:r>
              <w:rPr>
                <w:rFonts w:cs="Arial"/>
                <w:szCs w:val="20"/>
                <w:lang w:val="en-US"/>
              </w:rPr>
              <w:t>…...................................</w:t>
            </w:r>
            <w:r>
              <w:rPr>
                <w:rFonts w:cs="Arial"/>
                <w:color w:val="FFFFFF" w:themeColor="background1"/>
                <w:szCs w:val="20"/>
                <w:lang w:val="en-US"/>
              </w:rPr>
              <w:t>.</w:t>
            </w:r>
            <w:r>
              <w:rPr>
                <w:rFonts w:cs="Arial"/>
                <w:szCs w:val="20"/>
                <w:lang w:val="en-US"/>
              </w:rPr>
              <w:t>€ 5,779.20</w:t>
            </w:r>
          </w:p>
          <w:p>
            <w:pPr>
              <w:pStyle w:val="ListParagraph"/>
              <w:widowControl w:val="false"/>
              <w:ind w:left="360" w:hanging="0"/>
              <w:jc w:val="both"/>
              <w:rPr>
                <w:rFonts w:cs="Arial"/>
                <w:szCs w:val="20"/>
                <w:lang w:val="en-US"/>
              </w:rPr>
            </w:pPr>
            <w:r>
              <w:rPr>
                <w:rFonts w:cs="Arial"/>
                <w:szCs w:val="20"/>
                <w:lang w:val="en-US"/>
              </w:rPr>
              <w:t>when renting (Anmietung), up to</w:t>
            </w:r>
            <w:r>
              <w:rPr>
                <w:rFonts w:cs="Arial"/>
                <w:color w:val="FFFFFF" w:themeColor="background1"/>
                <w:szCs w:val="20"/>
                <w:lang w:val="en-US"/>
              </w:rPr>
              <w:t>.</w:t>
            </w:r>
            <w:r>
              <w:rPr>
                <w:rFonts w:cs="Arial"/>
                <w:szCs w:val="20"/>
                <w:lang w:val="en-US"/>
              </w:rPr>
              <w:t>….....</w:t>
            </w:r>
            <w:r>
              <w:rPr>
                <w:rFonts w:cs="Arial"/>
                <w:color w:val="FFFFFF" w:themeColor="background1"/>
                <w:szCs w:val="20"/>
                <w:lang w:val="en-US"/>
              </w:rPr>
              <w:t>.</w:t>
            </w:r>
            <w:r>
              <w:rPr>
                <w:rFonts w:cs="Arial"/>
                <w:szCs w:val="20"/>
                <w:lang w:val="en-US"/>
              </w:rPr>
              <w:t>€ 2,311.68</w:t>
            </w:r>
          </w:p>
          <w:p>
            <w:pPr>
              <w:pStyle w:val="Normal"/>
              <w:widowControl w:val="false"/>
              <w:numPr>
                <w:ilvl w:val="0"/>
                <w:numId w:val="2"/>
              </w:numPr>
              <w:jc w:val="both"/>
              <w:rPr>
                <w:lang w:val="en-US"/>
              </w:rPr>
            </w:pPr>
            <w:r>
              <w:rPr>
                <w:rFonts w:cs="Arial"/>
                <w:szCs w:val="20"/>
                <w:lang w:val="en-US"/>
              </w:rPr>
              <w:t>child benefit plus (Kindergeld-Plus), help for starting school (Schulstarthilfe) and apprentice subsidy (Lehrlingsbeihilfe) of the state of Tyrol (as well as comparable benefits)</w:t>
            </w:r>
          </w:p>
          <w:p>
            <w:pPr>
              <w:pStyle w:val="Normal"/>
              <w:widowControl w:val="false"/>
              <w:tabs>
                <w:tab w:val="clear" w:pos="708"/>
                <w:tab w:val="left" w:pos="227" w:leader="none"/>
              </w:tabs>
              <w:spacing w:lineRule="atLeast" w:line="260"/>
              <w:jc w:val="both"/>
              <w:rPr>
                <w:sz w:val="18"/>
                <w:szCs w:val="18"/>
                <w:lang w:val="en-US"/>
              </w:rPr>
            </w:pPr>
            <w:r>
              <w:rPr>
                <w:sz w:val="18"/>
                <w:szCs w:val="18"/>
                <w:lang w:val="en-US"/>
              </w:rPr>
            </w:r>
          </w:p>
          <w:p>
            <w:pPr>
              <w:pStyle w:val="Normal"/>
              <w:widowControl w:val="false"/>
              <w:tabs>
                <w:tab w:val="clear" w:pos="708"/>
                <w:tab w:val="left" w:pos="227" w:leader="none"/>
              </w:tabs>
              <w:spacing w:lineRule="atLeast" w:line="260"/>
              <w:jc w:val="both"/>
              <w:rPr>
                <w:b/>
                <w:b/>
                <w:szCs w:val="20"/>
                <w:lang w:val="en-US"/>
              </w:rPr>
            </w:pPr>
            <w:r>
              <w:rPr>
                <w:b/>
                <w:szCs w:val="20"/>
                <w:lang w:val="en-US"/>
              </w:rPr>
              <w:t>Please note!</w:t>
            </w:r>
          </w:p>
          <w:p>
            <w:pPr>
              <w:pStyle w:val="Normal"/>
              <w:widowControl w:val="false"/>
              <w:tabs>
                <w:tab w:val="clear" w:pos="708"/>
                <w:tab w:val="left" w:pos="227" w:leader="none"/>
              </w:tabs>
              <w:jc w:val="both"/>
              <w:rPr>
                <w:lang w:val="en-US"/>
              </w:rPr>
            </w:pPr>
            <w:r>
              <w:rPr>
                <w:rFonts w:cs="Arial"/>
                <w:szCs w:val="20"/>
                <w:lang w:val="en-US"/>
              </w:rPr>
              <w:t>Persons without Austrian citizenship are also entitled to minimum income benefits. These include</w:t>
            </w:r>
            <w:r>
              <w:rPr>
                <w:lang w:val="en-US"/>
              </w:rPr>
              <w:t xml:space="preserve">: </w:t>
            </w:r>
          </w:p>
          <w:p>
            <w:pPr>
              <w:pStyle w:val="ListParagraph"/>
              <w:widowControl w:val="false"/>
              <w:numPr>
                <w:ilvl w:val="0"/>
                <w:numId w:val="2"/>
              </w:numPr>
              <w:jc w:val="both"/>
              <w:rPr>
                <w:rFonts w:cs="Arial"/>
                <w:szCs w:val="20"/>
                <w:lang w:val="en-US"/>
              </w:rPr>
            </w:pPr>
            <w:r>
              <w:rPr>
                <w:rFonts w:cs="Arial"/>
                <w:szCs w:val="20"/>
                <w:lang w:val="en-US"/>
              </w:rPr>
              <w:t>EEA, EU and Swiss nationals, their spouse and children up to the age of 21 with a valid registration certificate</w:t>
            </w:r>
          </w:p>
          <w:p>
            <w:pPr>
              <w:pStyle w:val="ListParagraph"/>
              <w:widowControl w:val="false"/>
              <w:ind w:left="360" w:hanging="0"/>
              <w:jc w:val="both"/>
              <w:rPr>
                <w:rFonts w:cs="Arial"/>
                <w:szCs w:val="20"/>
                <w:lang w:val="en-US"/>
              </w:rPr>
            </w:pPr>
            <w:r>
              <w:rPr>
                <w:rFonts w:cs="Arial"/>
                <w:szCs w:val="20"/>
                <w:lang w:val="en-US"/>
              </w:rPr>
              <w:t>Please note: EU citizens are not entitled to minimum income benefits in any case. However, employees and the self-employed are generally entitled, as long as this status (as per NAG – Settlement and Residence Act) remains effective.</w:t>
            </w:r>
          </w:p>
          <w:p>
            <w:pPr>
              <w:pStyle w:val="Normal"/>
              <w:widowControl w:val="false"/>
              <w:numPr>
                <w:ilvl w:val="0"/>
                <w:numId w:val="2"/>
              </w:numPr>
              <w:spacing w:before="0" w:after="360"/>
              <w:ind w:left="357" w:hanging="357"/>
              <w:jc w:val="both"/>
              <w:rPr>
                <w:lang w:val="en-US"/>
              </w:rPr>
            </w:pPr>
            <w:r>
              <w:rPr>
                <w:rFonts w:cs="Arial"/>
                <w:szCs w:val="20"/>
                <w:lang w:val="en-US"/>
              </w:rPr>
              <w:t>recognized refugees and persons eligible for subsidiary protection</w:t>
            </w:r>
          </w:p>
          <w:p>
            <w:pPr>
              <w:pStyle w:val="Normal"/>
              <w:widowControl w:val="false"/>
              <w:spacing w:before="0" w:after="120"/>
              <w:jc w:val="both"/>
              <w:rPr>
                <w:rFonts w:cs="Arial"/>
                <w:b/>
                <w:b/>
                <w:sz w:val="22"/>
                <w:szCs w:val="22"/>
                <w:lang w:val="en-US"/>
              </w:rPr>
            </w:pPr>
            <w:r>
              <w:rPr>
                <w:rFonts w:cs="Arial"/>
                <w:b/>
                <w:sz w:val="22"/>
                <w:szCs w:val="22"/>
                <w:lang w:val="en-US"/>
              </w:rPr>
            </w:r>
          </w:p>
          <w:p>
            <w:pPr>
              <w:pStyle w:val="Normal"/>
              <w:widowControl w:val="false"/>
              <w:spacing w:before="0" w:after="120"/>
              <w:jc w:val="both"/>
              <w:rPr>
                <w:rFonts w:cs="Arial"/>
                <w:b/>
                <w:b/>
                <w:w w:val="99"/>
                <w:sz w:val="22"/>
                <w:szCs w:val="22"/>
                <w:lang w:val="en-US"/>
              </w:rPr>
            </w:pPr>
            <w:r>
              <w:rPr>
                <w:rFonts w:cs="Arial"/>
                <w:b/>
                <w:w w:val="99"/>
                <w:sz w:val="22"/>
                <w:szCs w:val="22"/>
                <w:lang w:val="en-US"/>
              </w:rPr>
              <w:t xml:space="preserve">How much money do you receive </w:t>
            </w:r>
            <w:r>
              <w:rPr>
                <w:rFonts w:cs="Arial"/>
                <w:b/>
                <w:color w:val="000000" w:themeColor="text1"/>
                <w:w w:val="99"/>
                <w:sz w:val="22"/>
                <w:szCs w:val="22"/>
                <w:lang w:val="en-US"/>
              </w:rPr>
              <w:t>per month</w:t>
            </w:r>
            <w:r>
              <w:rPr>
                <w:rFonts w:cs="Arial"/>
                <w:b/>
                <w:w w:val="99"/>
                <w:sz w:val="22"/>
                <w:szCs w:val="22"/>
                <w:lang w:val="en-US"/>
              </w:rPr>
              <w:t>?</w:t>
            </w:r>
          </w:p>
          <w:p>
            <w:pPr>
              <w:pStyle w:val="Normal"/>
              <w:widowControl w:val="false"/>
              <w:spacing w:before="0" w:after="120"/>
              <w:jc w:val="both"/>
              <w:rPr>
                <w:rFonts w:cs="Arial"/>
                <w:b/>
                <w:b/>
                <w:w w:val="99"/>
                <w:sz w:val="22"/>
                <w:szCs w:val="22"/>
                <w:lang w:val="en-US"/>
              </w:rPr>
            </w:pPr>
            <w:r>
              <w:rPr>
                <w:rFonts w:cs="Arial"/>
                <w:b/>
                <w:sz w:val="22"/>
                <w:szCs w:val="22"/>
                <w:lang w:val="en-US"/>
              </w:rPr>
              <w:t>Minimum benefit levels 2023</w:t>
            </w:r>
          </w:p>
          <w:p>
            <w:pPr>
              <w:pStyle w:val="Normal"/>
              <w:widowControl w:val="false"/>
              <w:spacing w:before="0" w:after="120"/>
              <w:jc w:val="both"/>
              <w:rPr>
                <w:lang w:val="en-US"/>
              </w:rPr>
            </w:pPr>
            <w:r>
              <w:rPr>
                <w:rFonts w:cs="Arial"/>
                <w:lang w:val="en-US"/>
              </w:rPr>
              <w:t>The minimum benefit levels refer to means of subsistence, electricity costs and clothing!</w:t>
            </w:r>
          </w:p>
          <w:p>
            <w:pPr>
              <w:pStyle w:val="Normal"/>
              <w:widowControl w:val="false"/>
              <w:numPr>
                <w:ilvl w:val="0"/>
                <w:numId w:val="2"/>
              </w:numPr>
              <w:tabs>
                <w:tab w:val="clear" w:pos="708"/>
                <w:tab w:val="decimal" w:pos="4441" w:leader="none"/>
              </w:tabs>
              <w:jc w:val="both"/>
              <w:rPr>
                <w:lang w:val="en-US"/>
              </w:rPr>
            </w:pPr>
            <w:r>
              <w:rPr>
                <w:rFonts w:cs="Arial"/>
                <w:lang w:val="en-US"/>
              </w:rPr>
              <w:t xml:space="preserve">single </w:t>
            </w:r>
            <w:r>
              <w:rPr>
                <w:lang w:val="en-US"/>
              </w:rPr>
              <w:t>persons</w:t>
            </w:r>
            <w:r>
              <w:rPr>
                <w:rFonts w:cs="Arial"/>
                <w:lang w:val="en-US"/>
              </w:rPr>
              <w:t xml:space="preserve"> and single parents</w:t>
            </w:r>
            <w:r>
              <w:rPr>
                <w:rFonts w:cs="Arial"/>
                <w:color w:val="FFFFFF" w:themeColor="background1"/>
                <w:lang w:val="en-US"/>
              </w:rPr>
              <w:t>.</w:t>
            </w:r>
            <w:r>
              <w:rPr>
                <w:rFonts w:cs="Arial"/>
                <w:lang w:val="en-US"/>
              </w:rPr>
              <w:t>..……</w:t>
            </w:r>
            <w:r>
              <w:rPr>
                <w:rFonts w:cs="Arial"/>
                <w:color w:val="FFFFFF" w:themeColor="background1"/>
                <w:lang w:val="en-US"/>
              </w:rPr>
              <w:t xml:space="preserve"> </w:t>
            </w:r>
            <w:r>
              <w:rPr>
                <w:rFonts w:cs="Arial"/>
                <w:lang w:val="en-US"/>
              </w:rPr>
              <w:t>€ 866.88</w:t>
            </w:r>
          </w:p>
          <w:p>
            <w:pPr>
              <w:pStyle w:val="Normal"/>
              <w:widowControl w:val="false"/>
              <w:spacing w:before="60" w:after="0"/>
              <w:jc w:val="both"/>
              <w:rPr>
                <w:sz w:val="20"/>
                <w:szCs w:val="20"/>
              </w:rPr>
            </w:pPr>
            <w:r>
              <w:rPr>
                <w:rFonts w:cs="Arial"/>
                <w:sz w:val="20"/>
                <w:szCs w:val="20"/>
                <w:lang w:val="en-US"/>
              </w:rPr>
              <w:t xml:space="preserve">You are considered a single person if you neither live in a community of dependence nor in a shared flat. </w:t>
            </w:r>
          </w:p>
          <w:p>
            <w:pPr>
              <w:pStyle w:val="Normal"/>
              <w:widowControl w:val="false"/>
              <w:spacing w:before="0" w:after="120"/>
              <w:jc w:val="both"/>
              <w:rPr>
                <w:sz w:val="20"/>
                <w:szCs w:val="20"/>
              </w:rPr>
            </w:pPr>
            <w:r>
              <w:rPr>
                <w:rFonts w:cs="Arial"/>
                <w:sz w:val="20"/>
                <w:szCs w:val="20"/>
                <w:lang w:val="en-US"/>
              </w:rPr>
              <w:t>You are considered a single parent if you only live with minors entitled to maintenance.</w:t>
            </w:r>
          </w:p>
          <w:p>
            <w:pPr>
              <w:pStyle w:val="Normal"/>
              <w:widowControl w:val="false"/>
              <w:numPr>
                <w:ilvl w:val="0"/>
                <w:numId w:val="2"/>
              </w:numPr>
              <w:tabs>
                <w:tab w:val="clear" w:pos="708"/>
                <w:tab w:val="decimal" w:pos="4441" w:leader="none"/>
              </w:tabs>
              <w:spacing w:before="0" w:after="120"/>
              <w:jc w:val="both"/>
              <w:rPr>
                <w:lang w:val="en-US"/>
              </w:rPr>
            </w:pPr>
            <w:r>
              <w:rPr>
                <w:rFonts w:cs="Arial"/>
                <w:lang w:val="en-US"/>
              </w:rPr>
              <w:t>singles or single parents of legal age in a shared flat</w:t>
            </w:r>
            <w:r>
              <w:rPr>
                <w:rFonts w:cs="Arial"/>
                <w:color w:val="FFFFFF" w:themeColor="background1"/>
                <w:lang w:val="en-US"/>
              </w:rPr>
              <w:t>.</w:t>
            </w:r>
            <w:r>
              <w:rPr>
                <w:rFonts w:cs="Arial"/>
                <w:lang w:val="en-US"/>
              </w:rPr>
              <w:t>….…...………………………...…....…</w:t>
            </w:r>
            <w:r>
              <w:rPr>
                <w:rFonts w:cs="Arial"/>
                <w:color w:val="FFFFFF" w:themeColor="background1"/>
                <w:lang w:val="en-US"/>
              </w:rPr>
              <w:t xml:space="preserve"> </w:t>
            </w:r>
            <w:r>
              <w:rPr>
                <w:rFonts w:cs="Arial"/>
                <w:lang w:val="en-US"/>
              </w:rPr>
              <w:t>€ 650.16</w:t>
            </w:r>
          </w:p>
          <w:p>
            <w:pPr>
              <w:pStyle w:val="Normal"/>
              <w:widowControl w:val="false"/>
              <w:spacing w:before="0" w:after="120"/>
              <w:jc w:val="both"/>
              <w:rPr>
                <w:w w:val="98"/>
                <w:sz w:val="20"/>
                <w:szCs w:val="20"/>
              </w:rPr>
            </w:pPr>
            <w:r>
              <w:rPr>
                <w:rFonts w:cs="Arial"/>
                <w:w w:val="98"/>
                <w:sz w:val="20"/>
                <w:szCs w:val="20"/>
                <w:lang w:val="en-US"/>
              </w:rPr>
              <w:t>Shared flat: a community of persons living together in a flat without being economically connected; everyone has their own living area; bathroom, kitchen etc. are common rooms; exception: certain supervised living facilities (without complete care); for people living in such facilities, the rates for singles apply ….. € 866.88</w:t>
            </w:r>
          </w:p>
          <w:p>
            <w:pPr>
              <w:pStyle w:val="Normal"/>
              <w:widowControl w:val="false"/>
              <w:numPr>
                <w:ilvl w:val="0"/>
                <w:numId w:val="2"/>
              </w:numPr>
              <w:tabs>
                <w:tab w:val="clear" w:pos="708"/>
                <w:tab w:val="decimal" w:pos="4441" w:leader="none"/>
              </w:tabs>
              <w:spacing w:before="0" w:after="120"/>
              <w:jc w:val="both"/>
              <w:rPr>
                <w:w w:val="98"/>
              </w:rPr>
            </w:pPr>
            <w:r>
              <w:rPr>
                <w:rFonts w:cs="Arial"/>
                <w:w w:val="98"/>
                <w:lang w:val="en-US"/>
              </w:rPr>
              <w:t>persons of legal age in a community of dependence with their spouse or partner</w:t>
            </w:r>
            <w:r>
              <w:rPr>
                <w:rFonts w:cs="Arial"/>
                <w:color w:val="FFFFFF" w:themeColor="background1"/>
                <w:w w:val="98"/>
                <w:lang w:val="en-US"/>
              </w:rPr>
              <w:t>.</w:t>
            </w:r>
            <w:r>
              <w:rPr>
                <w:rFonts w:cs="Arial"/>
                <w:w w:val="98"/>
                <w:lang w:val="en-US"/>
              </w:rPr>
              <w:t>..........</w:t>
            </w:r>
            <w:r>
              <w:rPr>
                <w:rFonts w:cs="Arial"/>
                <w:color w:val="FFFFFF" w:themeColor="background1"/>
                <w:w w:val="98"/>
                <w:lang w:val="en-US"/>
              </w:rPr>
              <w:t>.</w:t>
            </w:r>
            <w:r>
              <w:rPr>
                <w:rFonts w:cs="Arial"/>
                <w:w w:val="98"/>
                <w:lang w:val="en-US"/>
              </w:rPr>
              <w:t>€ 650.16</w:t>
            </w:r>
          </w:p>
          <w:p>
            <w:pPr>
              <w:pStyle w:val="Normal"/>
              <w:widowControl w:val="false"/>
              <w:spacing w:before="0" w:after="120"/>
              <w:jc w:val="both"/>
              <w:rPr>
                <w:sz w:val="20"/>
                <w:szCs w:val="20"/>
              </w:rPr>
            </w:pPr>
            <w:r>
              <w:rPr>
                <w:rFonts w:cs="Arial"/>
                <w:sz w:val="20"/>
                <w:szCs w:val="20"/>
                <w:lang w:val="en-US"/>
              </w:rPr>
              <w:t>Community of dependence: a community of persons living in the same household, keeping house together and mutual support on a family level can be assumed;</w:t>
            </w:r>
          </w:p>
          <w:p>
            <w:pPr>
              <w:pStyle w:val="Normal"/>
              <w:widowControl w:val="false"/>
              <w:numPr>
                <w:ilvl w:val="0"/>
                <w:numId w:val="2"/>
              </w:numPr>
              <w:tabs>
                <w:tab w:val="clear" w:pos="708"/>
                <w:tab w:val="decimal" w:pos="4441" w:leader="none"/>
              </w:tabs>
              <w:spacing w:before="0" w:after="120"/>
              <w:jc w:val="both"/>
              <w:rPr>
                <w:rFonts w:cs="Arial"/>
                <w:lang w:val="en-US"/>
              </w:rPr>
            </w:pPr>
            <w:r>
              <w:rPr>
                <w:rFonts w:cs="Arial"/>
                <w:lang w:val="en-US"/>
              </w:rPr>
              <w:t>from the 3</w:t>
            </w:r>
            <w:r>
              <w:rPr>
                <w:rFonts w:cs="Arial"/>
                <w:vertAlign w:val="superscript"/>
                <w:lang w:val="en-US"/>
              </w:rPr>
              <w:t>rd</w:t>
            </w:r>
            <w:r>
              <w:rPr>
                <w:rFonts w:cs="Arial"/>
                <w:lang w:val="en-US"/>
              </w:rPr>
              <w:t xml:space="preserve"> person of legal age entitled to benefits onwards, provided that she or he is entitled to maintenance by a person living in the community of dependence</w:t>
            </w:r>
            <w:r>
              <w:rPr>
                <w:rFonts w:cs="Arial"/>
                <w:color w:val="FFFFFF" w:themeColor="background1"/>
                <w:lang w:val="en-US"/>
              </w:rPr>
              <w:t>.</w:t>
            </w:r>
            <w:r>
              <w:rPr>
                <w:rFonts w:cs="Arial"/>
                <w:lang w:val="en-US"/>
              </w:rPr>
              <w:t>…...................................</w:t>
            </w:r>
            <w:r>
              <w:rPr>
                <w:rFonts w:cs="Arial"/>
                <w:color w:val="FFFFFF" w:themeColor="background1"/>
                <w:lang w:val="en-US"/>
              </w:rPr>
              <w:t>.</w:t>
            </w:r>
            <w:r>
              <w:rPr>
                <w:rFonts w:cs="Arial"/>
                <w:lang w:val="en-US"/>
              </w:rPr>
              <w:t>€ 433.44</w:t>
              <w:br/>
              <w:t xml:space="preserve">e.g. </w:t>
            </w:r>
            <w:r>
              <w:rPr>
                <w:lang w:val="en-US"/>
              </w:rPr>
              <w:t>children of legal age</w:t>
            </w:r>
            <w:r>
              <w:rPr>
                <w:rFonts w:cs="Arial"/>
                <w:lang w:val="en-US"/>
              </w:rPr>
              <w:t xml:space="preserve"> living with their parents</w:t>
            </w:r>
          </w:p>
          <w:p>
            <w:pPr>
              <w:pStyle w:val="ListParagraph"/>
              <w:widowControl w:val="false"/>
              <w:numPr>
                <w:ilvl w:val="0"/>
                <w:numId w:val="2"/>
              </w:numPr>
              <w:rPr>
                <w:rFonts w:cs="Arial"/>
                <w:lang w:val="en-US"/>
              </w:rPr>
            </w:pPr>
            <w:r>
              <w:rPr>
                <w:rFonts w:cs="Arial"/>
                <w:lang w:val="en-US"/>
              </w:rPr>
              <w:t xml:space="preserve">minors and persons with custody in the same household: </w:t>
            </w:r>
          </w:p>
          <w:p>
            <w:pPr>
              <w:pStyle w:val="ListParagraph"/>
              <w:widowControl w:val="false"/>
              <w:ind w:left="360" w:hanging="0"/>
              <w:rPr>
                <w:rFonts w:cs="Arial"/>
                <w:lang w:val="en-US"/>
              </w:rPr>
            </w:pPr>
            <w:r>
              <w:rPr>
                <w:rFonts w:cs="Arial"/>
                <w:lang w:val="en-US"/>
              </w:rPr>
              <w:t>for the 1</w:t>
            </w:r>
            <w:r>
              <w:rPr>
                <w:rFonts w:cs="Arial"/>
                <w:vertAlign w:val="superscript"/>
                <w:lang w:val="en-US"/>
              </w:rPr>
              <w:t>st</w:t>
            </w:r>
            <w:r>
              <w:rPr>
                <w:rFonts w:cs="Arial"/>
                <w:lang w:val="en-US"/>
              </w:rPr>
              <w:t xml:space="preserve"> and 2</w:t>
            </w:r>
            <w:r>
              <w:rPr>
                <w:rFonts w:cs="Arial"/>
                <w:vertAlign w:val="superscript"/>
                <w:lang w:val="en-US"/>
              </w:rPr>
              <w:t>nd</w:t>
            </w:r>
            <w:r>
              <w:rPr>
                <w:rFonts w:cs="Arial"/>
                <w:lang w:val="en-US"/>
              </w:rPr>
              <w:t xml:space="preserve"> child</w:t>
            </w:r>
            <w:r>
              <w:rPr>
                <w:rFonts w:cs="Arial"/>
                <w:color w:val="FFFFFF" w:themeColor="background1"/>
                <w:lang w:val="en-US"/>
              </w:rPr>
              <w:t>.</w:t>
            </w:r>
            <w:r>
              <w:rPr>
                <w:rFonts w:cs="Arial"/>
                <w:lang w:val="en-US"/>
              </w:rPr>
              <w:t>….......................</w:t>
            </w:r>
            <w:r>
              <w:rPr>
                <w:rFonts w:cs="Arial"/>
                <w:color w:val="FFFFFF" w:themeColor="background1"/>
                <w:lang w:val="en-US"/>
              </w:rPr>
              <w:t>.</w:t>
            </w:r>
            <w:r>
              <w:rPr>
                <w:rFonts w:cs="Arial"/>
                <w:lang w:val="en-US"/>
              </w:rPr>
              <w:t>€ 286.07</w:t>
            </w:r>
          </w:p>
          <w:p>
            <w:pPr>
              <w:pStyle w:val="ListParagraph"/>
              <w:widowControl w:val="false"/>
              <w:ind w:left="360" w:hanging="0"/>
              <w:rPr>
                <w:rFonts w:cs="Arial"/>
                <w:lang w:val="en-US"/>
              </w:rPr>
            </w:pPr>
            <w:r>
              <w:rPr>
                <w:rFonts w:cs="Arial"/>
                <w:lang w:val="en-US"/>
              </w:rPr>
              <w:t>for the 3</w:t>
            </w:r>
            <w:r>
              <w:rPr>
                <w:rFonts w:cs="Arial"/>
                <w:vertAlign w:val="superscript"/>
                <w:lang w:val="en-US"/>
              </w:rPr>
              <w:t>rd</w:t>
            </w:r>
            <w:r>
              <w:rPr>
                <w:rFonts w:cs="Arial"/>
                <w:lang w:val="en-US"/>
              </w:rPr>
              <w:t xml:space="preserve"> child</w:t>
            </w:r>
            <w:r>
              <w:rPr>
                <w:rFonts w:cs="Arial"/>
                <w:color w:val="FFFFFF" w:themeColor="background1"/>
                <w:lang w:val="en-US"/>
              </w:rPr>
              <w:t>.</w:t>
            </w:r>
            <w:r>
              <w:rPr>
                <w:rFonts w:cs="Arial"/>
                <w:lang w:val="en-US"/>
              </w:rPr>
              <w:t>…...................................</w:t>
            </w:r>
            <w:r>
              <w:rPr>
                <w:rFonts w:cs="Arial"/>
                <w:color w:val="FFFFFF" w:themeColor="background1"/>
                <w:lang w:val="en-US"/>
              </w:rPr>
              <w:t>.</w:t>
            </w:r>
            <w:r>
              <w:rPr>
                <w:rFonts w:cs="Arial"/>
                <w:lang w:val="en-US"/>
              </w:rPr>
              <w:t>€ 262.95</w:t>
            </w:r>
          </w:p>
          <w:p>
            <w:pPr>
              <w:pStyle w:val="ListParagraph"/>
              <w:widowControl w:val="false"/>
              <w:ind w:left="360" w:hanging="0"/>
              <w:rPr>
                <w:rFonts w:cs="Arial"/>
                <w:lang w:val="en-US"/>
              </w:rPr>
            </w:pPr>
            <w:r>
              <w:rPr>
                <w:rFonts w:cs="Arial"/>
                <w:lang w:val="en-US"/>
              </w:rPr>
              <w:t>for the 4</w:t>
            </w:r>
            <w:r>
              <w:rPr>
                <w:rFonts w:cs="Arial"/>
                <w:vertAlign w:val="superscript"/>
                <w:lang w:val="en-US"/>
              </w:rPr>
              <w:t>th</w:t>
            </w:r>
            <w:r>
              <w:rPr>
                <w:rFonts w:cs="Arial"/>
                <w:lang w:val="en-US"/>
              </w:rPr>
              <w:t xml:space="preserve"> to the 6</w:t>
            </w:r>
            <w:r>
              <w:rPr>
                <w:rFonts w:cs="Arial"/>
                <w:vertAlign w:val="superscript"/>
                <w:lang w:val="en-US"/>
              </w:rPr>
              <w:t>th</w:t>
            </w:r>
            <w:r>
              <w:rPr>
                <w:rFonts w:cs="Arial"/>
                <w:lang w:val="en-US"/>
              </w:rPr>
              <w:t xml:space="preserve"> child.…............….....</w:t>
            </w:r>
            <w:r>
              <w:rPr>
                <w:rFonts w:cs="Arial"/>
                <w:color w:val="FFFFFF" w:themeColor="background1"/>
                <w:lang w:val="en-US"/>
              </w:rPr>
              <w:t>.</w:t>
            </w:r>
            <w:r>
              <w:rPr>
                <w:rFonts w:cs="Arial"/>
                <w:lang w:val="en-US"/>
              </w:rPr>
              <w:t>€ 173.38</w:t>
            </w:r>
          </w:p>
          <w:p>
            <w:pPr>
              <w:pStyle w:val="Normal"/>
              <w:widowControl w:val="false"/>
              <w:tabs>
                <w:tab w:val="clear" w:pos="708"/>
                <w:tab w:val="decimal" w:pos="4441" w:leader="none"/>
              </w:tabs>
              <w:spacing w:before="0" w:after="120"/>
              <w:rPr>
                <w:rFonts w:cs="Arial"/>
                <w:lang w:val="en-US"/>
              </w:rPr>
            </w:pPr>
            <w:r>
              <w:rPr>
                <w:rFonts w:cs="Arial"/>
                <w:lang w:val="en-US"/>
              </w:rPr>
              <w:t>from the 7</w:t>
            </w:r>
            <w:r>
              <w:rPr>
                <w:rFonts w:cs="Arial"/>
                <w:vertAlign w:val="superscript"/>
                <w:lang w:val="en-US"/>
              </w:rPr>
              <w:t>th</w:t>
            </w:r>
            <w:r>
              <w:rPr>
                <w:rFonts w:cs="Arial"/>
                <w:lang w:val="en-US"/>
              </w:rPr>
              <w:t xml:space="preserve"> child onwards, for each</w:t>
            </w:r>
            <w:r>
              <w:rPr>
                <w:rFonts w:cs="Arial"/>
                <w:color w:val="FFFFFF" w:themeColor="background1"/>
                <w:lang w:val="en-US"/>
              </w:rPr>
              <w:t>.</w:t>
            </w:r>
            <w:r>
              <w:rPr>
                <w:rFonts w:cs="Arial"/>
                <w:lang w:val="en-US"/>
              </w:rPr>
              <w:t>….....</w:t>
            </w:r>
            <w:r>
              <w:rPr>
                <w:rFonts w:cs="Arial"/>
                <w:color w:val="FFFFFF" w:themeColor="background1"/>
                <w:lang w:val="en-US"/>
              </w:rPr>
              <w:t>.</w:t>
            </w:r>
            <w:r>
              <w:rPr>
                <w:rFonts w:cs="Arial"/>
                <w:lang w:val="en-US"/>
              </w:rPr>
              <w:t>€ 138.70</w:t>
            </w:r>
          </w:p>
          <w:p>
            <w:pPr>
              <w:pStyle w:val="Normal"/>
              <w:widowControl w:val="false"/>
              <w:numPr>
                <w:ilvl w:val="0"/>
                <w:numId w:val="2"/>
              </w:numPr>
              <w:tabs>
                <w:tab w:val="clear" w:pos="708"/>
                <w:tab w:val="decimal" w:pos="4441" w:leader="none"/>
              </w:tabs>
              <w:spacing w:before="0" w:after="120"/>
              <w:jc w:val="both"/>
              <w:rPr>
                <w:lang w:val="en-US"/>
              </w:rPr>
            </w:pPr>
            <w:r>
              <w:rPr>
                <w:rFonts w:cs="Arial"/>
                <w:lang w:val="en-US"/>
              </w:rPr>
              <w:t>single mature minors (from the age of 14) not drawing family allowance, not living with their parents or not being accommodated by children and youth welfare.…........…</w:t>
            </w:r>
            <w:r>
              <w:rPr>
                <w:lang w:val="en-US"/>
              </w:rPr>
              <w:t>...................</w:t>
            </w:r>
            <w:r>
              <w:rPr>
                <w:color w:val="FFFFFF" w:themeColor="background1"/>
                <w:lang w:val="en-US"/>
              </w:rPr>
              <w:t>.</w:t>
            </w:r>
            <w:r>
              <w:rPr>
                <w:lang w:val="en-US"/>
              </w:rPr>
              <w:t xml:space="preserve">€ </w:t>
            </w:r>
            <w:r>
              <w:rPr>
                <w:lang w:val="en-US"/>
              </w:rPr>
              <w:t>866.88</w:t>
            </w:r>
          </w:p>
          <w:p>
            <w:pPr>
              <w:pStyle w:val="Normal"/>
              <w:widowControl w:val="false"/>
              <w:numPr>
                <w:ilvl w:val="0"/>
                <w:numId w:val="2"/>
              </w:numPr>
              <w:tabs>
                <w:tab w:val="clear" w:pos="708"/>
                <w:tab w:val="decimal" w:pos="4441" w:leader="none"/>
              </w:tabs>
              <w:spacing w:before="0" w:after="120"/>
              <w:jc w:val="both"/>
              <w:rPr>
                <w:lang w:val="en-US"/>
              </w:rPr>
            </w:pPr>
            <w:r>
              <w:rPr>
                <w:rFonts w:cs="Arial"/>
                <w:lang w:val="en-US"/>
              </w:rPr>
              <w:t>single mature minors (from the age of 14) drawing family allowance, not living with their parents or not being accommodated by children and youth welfare</w:t>
            </w:r>
            <w:r>
              <w:rPr>
                <w:rFonts w:cs="Arial"/>
                <w:color w:val="FFFFFF" w:themeColor="background1"/>
                <w:lang w:val="en-US"/>
              </w:rPr>
              <w:t>.</w:t>
            </w:r>
            <w:r>
              <w:rPr>
                <w:rFonts w:cs="Arial"/>
                <w:lang w:val="en-US"/>
              </w:rPr>
              <w:t>…</w:t>
            </w:r>
            <w:r>
              <w:rPr>
                <w:lang w:val="en-US"/>
              </w:rPr>
              <w:t>......................................</w:t>
            </w:r>
            <w:r>
              <w:rPr>
                <w:rFonts w:cs="Arial"/>
                <w:color w:val="FFFFFF" w:themeColor="background1"/>
                <w:lang w:val="en-US"/>
              </w:rPr>
              <w:t>.</w:t>
            </w:r>
            <w:r>
              <w:rPr>
                <w:rFonts w:cs="Arial"/>
                <w:lang w:val="en-US"/>
              </w:rPr>
              <w:t>€ 650.16</w:t>
            </w:r>
          </w:p>
          <w:p>
            <w:pPr>
              <w:pStyle w:val="Normal"/>
              <w:widowControl w:val="false"/>
              <w:numPr>
                <w:ilvl w:val="0"/>
                <w:numId w:val="2"/>
              </w:numPr>
              <w:tabs>
                <w:tab w:val="clear" w:pos="708"/>
                <w:tab w:val="decimal" w:pos="4441" w:leader="none"/>
              </w:tabs>
              <w:spacing w:before="0" w:after="120"/>
              <w:jc w:val="both"/>
              <w:rPr>
                <w:lang w:val="en-US"/>
              </w:rPr>
            </w:pPr>
            <w:r>
              <w:rPr>
                <w:lang w:val="en-US"/>
              </w:rPr>
              <w:t>pocket money</w:t>
            </w:r>
            <w:r>
              <w:rPr>
                <w:color w:val="FFFFFF" w:themeColor="background1"/>
                <w:lang w:val="en-US"/>
              </w:rPr>
              <w:t>.</w:t>
            </w:r>
            <w:r>
              <w:rPr>
                <w:lang w:val="en-US"/>
              </w:rPr>
              <w:t>........................................</w:t>
            </w:r>
            <w:r>
              <w:rPr>
                <w:color w:val="FFFFFF" w:themeColor="background1"/>
                <w:lang w:val="en-US"/>
              </w:rPr>
              <w:t>.</w:t>
            </w:r>
            <w:r>
              <w:rPr>
                <w:lang w:val="en-US"/>
              </w:rPr>
              <w:t>€ 184.93</w:t>
              <w:br/>
            </w:r>
            <w:r>
              <w:rPr>
                <w:rFonts w:cs="Arial"/>
                <w:lang w:val="en-US"/>
              </w:rPr>
              <w:t>e.g. during an inpatient stay in a hospital or when living in a complete care facility</w:t>
            </w:r>
          </w:p>
          <w:p>
            <w:pPr>
              <w:pStyle w:val="Normal"/>
              <w:widowControl w:val="false"/>
              <w:jc w:val="both"/>
              <w:rPr>
                <w:rFonts w:cs="Arial"/>
                <w:lang w:val="en-US"/>
              </w:rPr>
            </w:pPr>
            <w:r>
              <w:rPr/>
            </w:r>
          </w:p>
          <w:p>
            <w:pPr>
              <w:pStyle w:val="Normal"/>
              <w:widowControl w:val="false"/>
              <w:jc w:val="both"/>
              <w:rPr>
                <w:rFonts w:cs="Arial"/>
                <w:lang w:val="en-US"/>
              </w:rPr>
            </w:pPr>
            <w:r>
              <w:rPr>
                <w:rFonts w:cs="Arial"/>
                <w:lang w:val="en-US"/>
              </w:rPr>
              <w:t xml:space="preserve">In March, June, September and December </w:t>
            </w:r>
            <w:r>
              <w:rPr>
                <w:rFonts w:cs="Arial"/>
                <w:b/>
                <w:lang w:val="en-US"/>
              </w:rPr>
              <w:t>special bonus payments</w:t>
            </w:r>
            <w:r>
              <w:rPr>
                <w:rFonts w:cs="Arial"/>
                <w:lang w:val="en-US"/>
              </w:rPr>
              <w:t xml:space="preserve"> in the amount of </w:t>
            </w:r>
            <w:r>
              <w:rPr>
                <w:rFonts w:cs="Arial"/>
                <w:b/>
                <w:bCs/>
                <w:lang w:val="en-US"/>
              </w:rPr>
              <w:t>€ 104.03</w:t>
            </w:r>
            <w:r>
              <w:rPr>
                <w:rFonts w:cs="Arial"/>
                <w:lang w:val="en-US"/>
              </w:rPr>
              <w:t xml:space="preserve"> are made per person entitled to benefits. It is required that, before the payment is made, minimum income benefits have been drawn for 3 continuous full months.</w:t>
            </w:r>
          </w:p>
          <w:p>
            <w:pPr>
              <w:pStyle w:val="Normal"/>
              <w:widowControl w:val="false"/>
              <w:jc w:val="both"/>
              <w:rPr>
                <w:rFonts w:cs="Arial"/>
                <w:lang w:val="en-US"/>
              </w:rPr>
            </w:pPr>
            <w:r>
              <w:rPr>
                <w:rFonts w:cs="Arial"/>
                <w:lang w:val="en-US"/>
              </w:rPr>
              <w:t xml:space="preserve">The following persons are entitled to special bonus payments: </w:t>
            </w:r>
          </w:p>
          <w:p>
            <w:pPr>
              <w:pStyle w:val="Normal"/>
              <w:widowControl w:val="false"/>
              <w:jc w:val="both"/>
              <w:rPr>
                <w:lang w:val="en-US"/>
              </w:rPr>
            </w:pPr>
            <w:r>
              <w:rPr>
                <w:rFonts w:cs="Arial"/>
                <w:w w:val="98"/>
                <w:lang w:val="en-US"/>
              </w:rPr>
              <w:t>minors, single parents, persons in receipt of an equalisation supplement, persons of statutory retirement age with no pension, persons in receipt of pocket money, persons with a disability of at least 50% and persons with mental illnesses drawing rehabilitation benefits.</w:t>
            </w:r>
            <w:r>
              <w:rPr>
                <w:lang w:val="en-US"/>
              </w:rPr>
              <w:br/>
            </w:r>
          </w:p>
          <w:p>
            <w:pPr>
              <w:pStyle w:val="Normal"/>
              <w:widowControl w:val="false"/>
              <w:spacing w:before="0" w:after="120"/>
              <w:jc w:val="both"/>
              <w:rPr>
                <w:b/>
                <w:b/>
                <w:sz w:val="22"/>
                <w:szCs w:val="22"/>
                <w:lang w:val="en-US"/>
              </w:rPr>
            </w:pPr>
            <w:r>
              <w:rPr>
                <w:rFonts w:cs="Arial"/>
                <w:b/>
                <w:sz w:val="22"/>
                <w:szCs w:val="22"/>
                <w:lang w:val="en-US"/>
              </w:rPr>
              <w:t>Reductions of benefits</w:t>
            </w:r>
            <w:r>
              <w:rPr>
                <w:b/>
                <w:sz w:val="22"/>
                <w:szCs w:val="22"/>
                <w:lang w:val="en-US"/>
              </w:rPr>
              <w:t>:</w:t>
            </w:r>
          </w:p>
          <w:p>
            <w:pPr>
              <w:pStyle w:val="Normal"/>
              <w:widowControl w:val="false"/>
              <w:jc w:val="both"/>
              <w:rPr>
                <w:rFonts w:cs="Arial"/>
                <w:lang w:val="en-US"/>
              </w:rPr>
            </w:pPr>
            <w:r>
              <w:rPr>
                <w:rFonts w:cs="Arial"/>
                <w:lang w:val="en-US"/>
              </w:rPr>
              <w:t>The benefits to secure subsistence can be reduced in stages up to 66% if</w:t>
            </w:r>
          </w:p>
          <w:p>
            <w:pPr>
              <w:pStyle w:val="Normal"/>
              <w:widowControl w:val="false"/>
              <w:jc w:val="both"/>
              <w:rPr>
                <w:rFonts w:cs="Arial"/>
                <w:lang w:val="en-US"/>
              </w:rPr>
            </w:pPr>
            <w:r>
              <w:rPr>
                <w:rFonts w:cs="Arial"/>
                <w:lang w:val="en-US"/>
              </w:rPr>
              <w:t xml:space="preserve">- you have put yourself in (financial) distress intentionally or by gross carelessness, </w:t>
            </w:r>
          </w:p>
          <w:p>
            <w:pPr>
              <w:pStyle w:val="Normal"/>
              <w:widowControl w:val="false"/>
              <w:jc w:val="both"/>
              <w:rPr>
                <w:rFonts w:cs="Arial"/>
                <w:lang w:val="en-US"/>
              </w:rPr>
            </w:pPr>
            <w:r>
              <w:rPr>
                <w:rFonts w:cs="Arial"/>
                <w:lang w:val="en-US"/>
              </w:rPr>
              <w:t>- you have not shown willingness to work or have not engaged in reasonably suitable employment,</w:t>
            </w:r>
          </w:p>
          <w:p>
            <w:pPr>
              <w:pStyle w:val="Normal"/>
              <w:widowControl w:val="false"/>
              <w:jc w:val="both"/>
              <w:rPr>
                <w:rFonts w:cs="Arial"/>
                <w:lang w:val="en-US"/>
              </w:rPr>
            </w:pPr>
            <w:r>
              <w:rPr>
                <w:rFonts w:cs="Arial"/>
                <w:lang w:val="en-US"/>
              </w:rPr>
              <w:t>- you have not used the funds provided economically,</w:t>
            </w:r>
          </w:p>
          <w:p>
            <w:pPr>
              <w:pStyle w:val="Normal"/>
              <w:widowControl w:val="false"/>
              <w:jc w:val="both"/>
              <w:rPr>
                <w:rFonts w:cs="Arial"/>
                <w:b/>
                <w:b/>
                <w:lang w:val="en-US"/>
              </w:rPr>
            </w:pPr>
            <w:r>
              <w:rPr>
                <w:rFonts w:cs="Arial"/>
                <w:lang w:val="en-US"/>
              </w:rPr>
              <w:t>- you have not taken or successfully completed the courses prescribed by the AMS or by a competent social welfare office,</w:t>
            </w:r>
          </w:p>
          <w:p>
            <w:pPr>
              <w:pStyle w:val="Normal"/>
              <w:widowControl w:val="false"/>
              <w:spacing w:before="0" w:after="120"/>
              <w:jc w:val="both"/>
              <w:rPr>
                <w:lang w:val="en-US"/>
              </w:rPr>
            </w:pPr>
            <w:r>
              <w:rPr>
                <w:rFonts w:cs="Arial"/>
                <w:lang w:val="en-US"/>
              </w:rPr>
              <w:t>- you have not completed the measures for integration successfully or in time</w:t>
            </w:r>
            <w:r>
              <w:rPr>
                <w:lang w:val="en-US"/>
              </w:rPr>
              <w:t>.</w:t>
            </w:r>
          </w:p>
          <w:p>
            <w:pPr>
              <w:pStyle w:val="Normal"/>
              <w:widowControl w:val="false"/>
              <w:spacing w:before="0" w:after="120"/>
              <w:jc w:val="both"/>
              <w:rPr>
                <w:rFonts w:cs="Arial"/>
                <w:u w:val="single"/>
                <w:lang w:val="en-US"/>
              </w:rPr>
            </w:pPr>
            <w:r>
              <w:rPr>
                <w:rFonts w:cs="Arial"/>
                <w:u w:val="single"/>
                <w:lang w:val="en-US"/>
              </w:rPr>
            </w:r>
          </w:p>
          <w:p>
            <w:pPr>
              <w:pStyle w:val="Normal"/>
              <w:widowControl w:val="false"/>
              <w:jc w:val="both"/>
              <w:rPr>
                <w:lang w:val="en-US"/>
              </w:rPr>
            </w:pPr>
            <w:r>
              <w:rPr>
                <w:rFonts w:cs="Arial"/>
                <w:b/>
                <w:lang w:val="en-US"/>
              </w:rPr>
              <w:t>AMS benefits</w:t>
            </w:r>
            <w:r>
              <w:rPr>
                <w:b/>
                <w:lang w:val="en-US"/>
              </w:rPr>
              <w:t>:</w:t>
            </w:r>
            <w:r>
              <w:rPr>
                <w:lang w:val="en-US"/>
              </w:rPr>
              <w:t xml:space="preserve"> </w:t>
            </w:r>
          </w:p>
          <w:p>
            <w:pPr>
              <w:pStyle w:val="Normal"/>
              <w:widowControl w:val="false"/>
              <w:jc w:val="both"/>
              <w:rPr>
                <w:rFonts w:cs="Arial"/>
                <w:lang w:val="en-US"/>
              </w:rPr>
            </w:pPr>
            <w:r>
              <w:rPr>
                <w:rFonts w:cs="Arial"/>
                <w:lang w:val="en-US"/>
              </w:rPr>
              <w:t xml:space="preserve">Those who completely or partially lose entitlement to emergency unemployment assistance or unemployment benefits do </w:t>
            </w:r>
            <w:r>
              <w:rPr>
                <w:rFonts w:cs="Arial"/>
                <w:b/>
                <w:lang w:val="en-US"/>
              </w:rPr>
              <w:t>not get compensation</w:t>
            </w:r>
            <w:r>
              <w:rPr>
                <w:rFonts w:cs="Arial"/>
                <w:lang w:val="en-US"/>
              </w:rPr>
              <w:t xml:space="preserve"> via the minimum income scheme for the period of suspension. This may imply a reduction of benefits to secure subsistence by well over 66% (rent is not guaranteed!) from one day to the next. </w:t>
            </w:r>
          </w:p>
          <w:p>
            <w:pPr>
              <w:pStyle w:val="Normal"/>
              <w:widowControl w:val="false"/>
              <w:spacing w:before="0" w:after="120"/>
              <w:jc w:val="both"/>
              <w:rPr>
                <w:lang w:val="en-US"/>
              </w:rPr>
            </w:pPr>
            <w:r>
              <w:rPr>
                <w:rFonts w:cs="Arial"/>
                <w:lang w:val="en-US"/>
              </w:rPr>
              <w:t>It is very important that you keep your AMS appointments and, if you have lost your job, to make an application at the AMS immediately</w:t>
            </w:r>
            <w:r>
              <w:rPr>
                <w:lang w:val="en-US"/>
              </w:rPr>
              <w:t>.</w:t>
            </w:r>
          </w:p>
          <w:p>
            <w:pPr>
              <w:pStyle w:val="Normal"/>
              <w:widowControl w:val="false"/>
              <w:spacing w:before="0" w:after="120"/>
              <w:jc w:val="both"/>
              <w:rPr>
                <w:rFonts w:cs="Arial"/>
                <w:lang w:val="en-US"/>
              </w:rPr>
            </w:pPr>
            <w:r>
              <w:rPr>
                <w:rFonts w:cs="Arial"/>
                <w:lang w:val="en-US"/>
              </w:rPr>
              <w:t>Get in touch with a counselling centre if your benefits are reduced!</w:t>
            </w:r>
          </w:p>
          <w:p>
            <w:pPr>
              <w:pStyle w:val="Normal"/>
              <w:widowControl w:val="false"/>
              <w:spacing w:before="0" w:after="120"/>
              <w:jc w:val="both"/>
              <w:rPr>
                <w:lang w:val="en-US"/>
              </w:rPr>
            </w:pPr>
            <w:r>
              <w:rPr>
                <w:lang w:val="en-US"/>
              </w:rPr>
            </w:r>
          </w:p>
          <w:p>
            <w:pPr>
              <w:pStyle w:val="Normal"/>
              <w:widowControl w:val="false"/>
              <w:spacing w:before="0" w:after="60"/>
              <w:jc w:val="both"/>
              <w:rPr>
                <w:b/>
                <w:b/>
                <w:sz w:val="22"/>
                <w:szCs w:val="22"/>
                <w:lang w:val="en-US"/>
              </w:rPr>
            </w:pPr>
            <w:r>
              <w:rPr>
                <w:b/>
                <w:sz w:val="22"/>
                <w:szCs w:val="22"/>
                <w:lang w:val="en-US"/>
              </w:rPr>
              <w:t>How do you apply for minimum income benefits?</w:t>
            </w:r>
          </w:p>
          <w:p>
            <w:pPr>
              <w:pStyle w:val="ListParagraph"/>
              <w:widowControl w:val="false"/>
              <w:numPr>
                <w:ilvl w:val="0"/>
                <w:numId w:val="2"/>
              </w:numPr>
              <w:jc w:val="both"/>
              <w:rPr>
                <w:rFonts w:cs="Arial"/>
                <w:lang w:val="en-US"/>
              </w:rPr>
            </w:pPr>
            <w:r>
              <w:rPr>
                <w:rFonts w:cs="Arial"/>
                <w:lang w:val="en-US"/>
              </w:rPr>
              <w:t>Make a written application – the forms can be obtained at counselling centers and social welfare offices or are available for download on the homepage.</w:t>
            </w:r>
          </w:p>
          <w:p>
            <w:pPr>
              <w:pStyle w:val="ListParagraph"/>
              <w:widowControl w:val="false"/>
              <w:numPr>
                <w:ilvl w:val="0"/>
                <w:numId w:val="2"/>
              </w:numPr>
              <w:jc w:val="both"/>
              <w:rPr>
                <w:rFonts w:cs="Arial"/>
                <w:lang w:val="en-US"/>
              </w:rPr>
            </w:pPr>
            <w:r>
              <w:rPr>
                <w:rFonts w:cs="Arial"/>
                <w:lang w:val="en-US"/>
              </w:rPr>
              <w:t>If you do not live in Innsbruck, you either make the application to your local authority of residence or directly to the competent district administration. The local authority must give an opinion to the district administration immediately!</w:t>
            </w:r>
          </w:p>
          <w:p>
            <w:pPr>
              <w:pStyle w:val="Normal"/>
              <w:widowControl w:val="false"/>
              <w:numPr>
                <w:ilvl w:val="0"/>
                <w:numId w:val="2"/>
              </w:numPr>
              <w:tabs>
                <w:tab w:val="clear" w:pos="708"/>
                <w:tab w:val="decimal" w:pos="4441" w:leader="none"/>
              </w:tabs>
              <w:spacing w:before="0" w:after="120"/>
              <w:jc w:val="both"/>
              <w:rPr>
                <w:lang w:val="en-US"/>
              </w:rPr>
            </w:pPr>
            <w:r>
              <w:rPr>
                <w:rFonts w:cs="Arial"/>
                <w:lang w:val="en-US"/>
              </w:rPr>
              <w:t>Applications CANNOT be submitted to the AMS.</w:t>
            </w:r>
          </w:p>
          <w:p>
            <w:pPr>
              <w:pStyle w:val="Normal"/>
              <w:widowControl w:val="false"/>
              <w:tabs>
                <w:tab w:val="clear" w:pos="708"/>
                <w:tab w:val="decimal" w:pos="4441" w:leader="none"/>
              </w:tabs>
              <w:spacing w:before="0" w:after="120"/>
              <w:ind w:left="360" w:hanging="0"/>
              <w:jc w:val="both"/>
              <w:rPr>
                <w:lang w:val="en-US"/>
              </w:rPr>
            </w:pPr>
            <w:r>
              <w:rPr>
                <w:lang w:val="en-US"/>
              </w:rPr>
            </w:r>
          </w:p>
          <w:p>
            <w:pPr>
              <w:pStyle w:val="Normal"/>
              <w:widowControl w:val="false"/>
              <w:spacing w:before="0" w:after="120"/>
              <w:jc w:val="both"/>
              <w:rPr>
                <w:lang w:val="en-US"/>
              </w:rPr>
            </w:pPr>
            <w:r>
              <w:rPr>
                <w:rFonts w:cs="Arial"/>
                <w:b/>
                <w:lang w:val="en-US"/>
              </w:rPr>
              <w:t>The following documents are required for the application for minimum income benefits</w:t>
            </w:r>
            <w:r>
              <w:rPr>
                <w:b/>
                <w:lang w:val="en-US"/>
              </w:rPr>
              <w:t>:</w:t>
            </w:r>
          </w:p>
          <w:p>
            <w:pPr>
              <w:pStyle w:val="Normal"/>
              <w:widowControl w:val="false"/>
              <w:spacing w:before="0" w:after="120"/>
              <w:jc w:val="both"/>
              <w:rPr>
                <w:lang w:val="en-US"/>
              </w:rPr>
            </w:pPr>
            <w:r>
              <w:rPr>
                <w:rFonts w:cs="Arial"/>
                <w:lang w:val="en-US"/>
              </w:rPr>
              <w:t>Proof of distress</w:t>
            </w:r>
            <w:r>
              <w:rPr>
                <w:lang w:val="en-US"/>
              </w:rPr>
              <w:t>:</w:t>
            </w:r>
          </w:p>
          <w:p>
            <w:pPr>
              <w:pStyle w:val="ListParagraph"/>
              <w:widowControl w:val="false"/>
              <w:numPr>
                <w:ilvl w:val="0"/>
                <w:numId w:val="2"/>
              </w:numPr>
              <w:jc w:val="both"/>
              <w:rPr>
                <w:rFonts w:cs="Arial"/>
                <w:lang w:val="en-US"/>
              </w:rPr>
            </w:pPr>
            <w:r>
              <w:rPr>
                <w:rFonts w:cs="Arial"/>
                <w:lang w:val="en-US"/>
              </w:rPr>
              <w:t>proof of income: pay slips (Lohnzettel), proof of unemployment benefits, sickness benefits, pension, basic services, rent subsidies, etc.)</w:t>
            </w:r>
          </w:p>
          <w:p>
            <w:pPr>
              <w:pStyle w:val="ListParagraph"/>
              <w:widowControl w:val="false"/>
              <w:numPr>
                <w:ilvl w:val="0"/>
                <w:numId w:val="2"/>
              </w:numPr>
              <w:jc w:val="both"/>
              <w:rPr>
                <w:rFonts w:cs="Arial"/>
                <w:lang w:val="en-US"/>
              </w:rPr>
            </w:pPr>
            <w:r>
              <w:rPr>
                <w:rFonts w:cs="Arial"/>
                <w:lang w:val="en-US"/>
              </w:rPr>
              <w:t>bank statements of the previous 3 months</w:t>
            </w:r>
          </w:p>
          <w:p>
            <w:pPr>
              <w:pStyle w:val="ListParagraph"/>
              <w:widowControl w:val="false"/>
              <w:numPr>
                <w:ilvl w:val="0"/>
                <w:numId w:val="2"/>
              </w:numPr>
              <w:jc w:val="both"/>
              <w:rPr>
                <w:rFonts w:cs="Arial"/>
                <w:lang w:val="en-US"/>
              </w:rPr>
            </w:pPr>
            <w:r>
              <w:rPr>
                <w:rFonts w:cs="Arial"/>
                <w:lang w:val="en-US"/>
              </w:rPr>
              <w:t xml:space="preserve">rental contract and confirmation of housing costs </w:t>
            </w:r>
          </w:p>
          <w:p>
            <w:pPr>
              <w:pStyle w:val="ListParagraph"/>
              <w:widowControl w:val="false"/>
              <w:numPr>
                <w:ilvl w:val="0"/>
                <w:numId w:val="2"/>
              </w:numPr>
              <w:jc w:val="both"/>
              <w:rPr>
                <w:rFonts w:cs="Arial"/>
                <w:lang w:val="en-US"/>
              </w:rPr>
            </w:pPr>
            <w:r>
              <w:rPr>
                <w:rFonts w:cs="Arial"/>
                <w:lang w:val="en-US"/>
              </w:rPr>
              <w:t>bills, cost estimates or evidence of other expenses (e.g. alimony, etc.)</w:t>
            </w:r>
          </w:p>
          <w:p>
            <w:pPr>
              <w:pStyle w:val="ListParagraph"/>
              <w:widowControl w:val="false"/>
              <w:numPr>
                <w:ilvl w:val="0"/>
                <w:numId w:val="2"/>
              </w:numPr>
              <w:jc w:val="both"/>
              <w:rPr>
                <w:rFonts w:cs="Arial"/>
                <w:lang w:val="en-US"/>
              </w:rPr>
            </w:pPr>
            <w:r>
              <w:rPr>
                <w:rFonts w:cs="Arial"/>
                <w:lang w:val="en-US"/>
              </w:rPr>
              <w:t>in cases of previous jail time: release papers</w:t>
            </w:r>
          </w:p>
          <w:p>
            <w:pPr>
              <w:pStyle w:val="ListParagraph"/>
              <w:widowControl w:val="false"/>
              <w:numPr>
                <w:ilvl w:val="0"/>
                <w:numId w:val="2"/>
              </w:numPr>
              <w:jc w:val="both"/>
              <w:rPr>
                <w:rFonts w:cs="Arial"/>
                <w:lang w:val="en-US"/>
              </w:rPr>
            </w:pPr>
            <w:r>
              <w:rPr>
                <w:rFonts w:cs="Arial"/>
                <w:lang w:val="en-US"/>
              </w:rPr>
              <w:t>confirmation of seeking work (AMS) or incapacity to work (public medical officer)</w:t>
            </w:r>
          </w:p>
          <w:p>
            <w:pPr>
              <w:pStyle w:val="ListParagraph"/>
              <w:widowControl w:val="false"/>
              <w:numPr>
                <w:ilvl w:val="0"/>
                <w:numId w:val="2"/>
              </w:numPr>
              <w:jc w:val="both"/>
              <w:rPr>
                <w:rFonts w:cs="Arial"/>
                <w:lang w:val="en-US"/>
              </w:rPr>
            </w:pPr>
            <w:r>
              <w:rPr>
                <w:rFonts w:cs="Arial"/>
                <w:lang w:val="en-US"/>
              </w:rPr>
              <w:t>course certificate</w:t>
            </w:r>
          </w:p>
          <w:p>
            <w:pPr>
              <w:pStyle w:val="Normal"/>
              <w:widowControl w:val="false"/>
              <w:numPr>
                <w:ilvl w:val="0"/>
                <w:numId w:val="2"/>
              </w:numPr>
              <w:spacing w:before="0" w:after="240"/>
              <w:jc w:val="both"/>
              <w:rPr>
                <w:lang w:val="en-US"/>
              </w:rPr>
            </w:pPr>
            <w:r>
              <w:rPr>
                <w:rFonts w:cs="Arial"/>
                <w:lang w:val="en-US"/>
              </w:rPr>
              <w:t>proof of identity</w:t>
            </w:r>
            <w:r>
              <w:rPr>
                <w:lang w:val="en-US"/>
              </w:rPr>
              <w:t xml:space="preserve"> </w:t>
            </w:r>
          </w:p>
        </w:tc>
        <w:tc>
          <w:tcPr>
            <w:tcW w:w="569" w:type="dxa"/>
            <w:tcBorders/>
          </w:tcPr>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p>
            <w:pPr>
              <w:pStyle w:val="Normal"/>
              <w:widowControl w:val="false"/>
              <w:jc w:val="both"/>
              <w:rPr>
                <w:lang w:val="en-US"/>
              </w:rPr>
            </w:pPr>
            <w:r>
              <w:rPr>
                <w:lang w:val="en-US"/>
              </w:rPr>
            </w:r>
          </w:p>
        </w:tc>
        <w:tc>
          <w:tcPr>
            <w:tcW w:w="4887" w:type="dxa"/>
            <w:tcBorders/>
          </w:tcPr>
          <w:p>
            <w:pPr>
              <w:pStyle w:val="ListParagraph"/>
              <w:widowControl w:val="false"/>
              <w:numPr>
                <w:ilvl w:val="0"/>
                <w:numId w:val="1"/>
              </w:numPr>
              <w:jc w:val="both"/>
              <w:rPr>
                <w:rFonts w:cs="Arial"/>
                <w:szCs w:val="20"/>
                <w:lang w:val="en-US"/>
              </w:rPr>
            </w:pPr>
            <w:r>
              <w:rPr>
                <w:rFonts w:cs="Arial"/>
                <w:szCs w:val="20"/>
                <w:lang w:val="en-US"/>
              </w:rPr>
              <w:t xml:space="preserve">persons who have gained permanent residency (after a minimum of at least 5 years of legal residency) </w:t>
            </w:r>
          </w:p>
          <w:p>
            <w:pPr>
              <w:pStyle w:val="Normal"/>
              <w:widowControl w:val="false"/>
              <w:numPr>
                <w:ilvl w:val="0"/>
                <w:numId w:val="1"/>
              </w:numPr>
              <w:jc w:val="both"/>
              <w:rPr>
                <w:lang w:val="en-US"/>
              </w:rPr>
            </w:pPr>
            <w:r>
              <w:rPr>
                <w:rFonts w:cs="Arial"/>
                <w:szCs w:val="20"/>
                <w:lang w:val="en-US"/>
              </w:rPr>
              <w:t>third-country nationals who have been living in Austria for less than 5 years can apply for minimum income benefits, but have no legal claim.</w:t>
            </w:r>
          </w:p>
          <w:p>
            <w:pPr>
              <w:pStyle w:val="ListParagraph"/>
              <w:widowControl w:val="false"/>
              <w:numPr>
                <w:ilvl w:val="0"/>
                <w:numId w:val="1"/>
              </w:numPr>
              <w:spacing w:before="0" w:after="200"/>
              <w:contextualSpacing/>
              <w:jc w:val="both"/>
              <w:rPr>
                <w:rFonts w:cs="Arial"/>
                <w:szCs w:val="20"/>
                <w:lang w:val="en-US"/>
              </w:rPr>
            </w:pPr>
            <w:r>
              <w:rPr>
                <w:rFonts w:cs="Arial"/>
                <w:szCs w:val="20"/>
                <w:lang w:val="en-US"/>
              </w:rPr>
              <w:t>Please note: Drawing minimum income benefits can endanger your residence (due to the lack of own resources), therefore, prior to the application, it is very important that you check whether an application for minimum income benefits can cause problems regarding residence rights.</w:t>
            </w:r>
          </w:p>
          <w:p>
            <w:pPr>
              <w:pStyle w:val="Normal"/>
              <w:widowControl w:val="false"/>
              <w:spacing w:before="0" w:after="200"/>
              <w:jc w:val="both"/>
              <w:rPr>
                <w:rFonts w:cs="Arial"/>
                <w:b/>
                <w:b/>
                <w:sz w:val="22"/>
                <w:szCs w:val="22"/>
                <w:lang w:val="en-US"/>
              </w:rPr>
            </w:pPr>
            <w:r>
              <w:rPr>
                <w:rFonts w:cs="Arial"/>
                <w:b/>
                <w:sz w:val="22"/>
                <w:szCs w:val="22"/>
                <w:lang w:val="en-US"/>
              </w:rPr>
              <w:t>Requirements when drawing minimum income benefits</w:t>
            </w:r>
            <w:r>
              <w:rPr>
                <w:rFonts w:cs="Arial"/>
                <w:b/>
                <w:sz w:val="18"/>
                <w:szCs w:val="18"/>
                <w:lang w:val="en-US"/>
              </w:rPr>
              <w:t xml:space="preserve">: </w:t>
            </w:r>
          </w:p>
          <w:p>
            <w:pPr>
              <w:pStyle w:val="Normal"/>
              <w:widowControl w:val="false"/>
              <w:spacing w:before="0" w:after="120"/>
              <w:jc w:val="both"/>
              <w:rPr>
                <w:szCs w:val="20"/>
                <w:lang w:val="en-US"/>
              </w:rPr>
            </w:pPr>
            <w:r>
              <w:rPr>
                <w:b/>
                <w:sz w:val="22"/>
                <w:szCs w:val="22"/>
                <w:lang w:val="en-US"/>
              </w:rPr>
              <w:t>Measures of integration:</w:t>
            </w:r>
          </w:p>
          <w:p>
            <w:pPr>
              <w:pStyle w:val="Normal"/>
              <w:widowControl w:val="false"/>
              <w:jc w:val="both"/>
              <w:rPr>
                <w:rFonts w:cs="Arial"/>
                <w:lang w:val="en-US"/>
              </w:rPr>
            </w:pPr>
            <w:r>
              <w:rPr>
                <w:rFonts w:cs="Arial"/>
                <w:lang w:val="en-US"/>
              </w:rPr>
              <w:t xml:space="preserve">Within a certain period, persons entitled to asylum and persons eligible for subsidiary protection need to provide evidence of having attended a values course and of having German language knowledge at level A2. If both conditions are fulfilled, no additional requirements must be made. If the fulfilment of one of these conditions is unbearable due to age, physical or mental health, evidence may not be required. </w:t>
            </w:r>
          </w:p>
          <w:p>
            <w:pPr>
              <w:pStyle w:val="Normal"/>
              <w:widowControl w:val="false"/>
              <w:spacing w:before="0" w:after="240"/>
              <w:jc w:val="both"/>
              <w:rPr>
                <w:rFonts w:cs="Arial"/>
                <w:lang w:val="en-US"/>
              </w:rPr>
            </w:pPr>
            <w:r>
              <w:rPr>
                <w:rFonts w:cs="Arial"/>
                <w:lang w:val="en-US"/>
              </w:rPr>
              <w:t>If you are assigned to a course and you do not participate, benefits to secure subsistence (Lebensunterhalt) are threatened to be reduced up to 66%!</w:t>
            </w:r>
          </w:p>
          <w:p>
            <w:pPr>
              <w:pStyle w:val="Normal"/>
              <w:widowControl w:val="false"/>
              <w:spacing w:before="0" w:after="60"/>
              <w:jc w:val="both"/>
              <w:rPr>
                <w:b/>
                <w:b/>
                <w:sz w:val="22"/>
                <w:szCs w:val="22"/>
                <w:lang w:val="en-US"/>
              </w:rPr>
            </w:pPr>
            <w:r>
              <w:rPr>
                <w:b/>
                <w:sz w:val="22"/>
                <w:szCs w:val="22"/>
                <w:lang w:val="en-US"/>
              </w:rPr>
              <w:t>Stays abroad:</w:t>
            </w:r>
          </w:p>
          <w:p>
            <w:pPr>
              <w:pStyle w:val="Normal"/>
              <w:widowControl w:val="false"/>
              <w:spacing w:before="0" w:after="200"/>
              <w:jc w:val="both"/>
              <w:rPr>
                <w:b/>
                <w:b/>
                <w:sz w:val="22"/>
                <w:szCs w:val="22"/>
                <w:lang w:val="en-US"/>
              </w:rPr>
            </w:pPr>
            <w:r>
              <w:rPr>
                <w:rFonts w:cs="Arial"/>
                <w:lang w:val="en-US"/>
              </w:rPr>
              <w:t>All stays abroad longer than one week must be communicated to the competent social welfare office (Sozialamt or BH of your district). If the stay exceeds a total of 14 days within a year, basic benefits are suspended – you do not receive money for that period! The period can be extended to 6 weeks for reasons that require special consideration, such as family, health or job search. If the stay exceeds 6 weeks, basic benefits are dropped.</w:t>
            </w:r>
          </w:p>
          <w:p>
            <w:pPr>
              <w:pStyle w:val="Normal"/>
              <w:widowControl w:val="false"/>
              <w:tabs>
                <w:tab w:val="clear" w:pos="708"/>
                <w:tab w:val="left" w:pos="227" w:leader="none"/>
              </w:tabs>
              <w:spacing w:lineRule="atLeast" w:line="260" w:before="0" w:after="60"/>
              <w:jc w:val="both"/>
              <w:rPr>
                <w:b/>
                <w:b/>
                <w:sz w:val="22"/>
                <w:szCs w:val="22"/>
                <w:lang w:val="en-US"/>
              </w:rPr>
            </w:pPr>
            <w:r>
              <w:rPr>
                <w:b/>
                <w:sz w:val="22"/>
                <w:szCs w:val="22"/>
                <w:lang w:val="en-US"/>
              </w:rPr>
              <w:t>Use of workforce:</w:t>
            </w:r>
          </w:p>
          <w:p>
            <w:pPr>
              <w:pStyle w:val="Normal"/>
              <w:widowControl w:val="false"/>
              <w:jc w:val="both"/>
              <w:rPr>
                <w:szCs w:val="20"/>
                <w:lang w:val="en-US"/>
              </w:rPr>
            </w:pPr>
            <w:r>
              <w:rPr>
                <w:rFonts w:cs="Arial"/>
                <w:lang w:val="en-US"/>
              </w:rPr>
              <w:t>Claimants of minimum income benefits are generally bound to show their willingness to work and to seek reasonably suitable employment – language courses or AMS courses (courses of the public employment service) are acceptable as well. Whether this is just and reasonable or not, is to be examined individually.</w:t>
            </w:r>
          </w:p>
          <w:p>
            <w:pPr>
              <w:pStyle w:val="Normal"/>
              <w:widowControl w:val="false"/>
              <w:spacing w:before="0" w:after="360"/>
              <w:jc w:val="both"/>
              <w:rPr>
                <w:rFonts w:ascii="Times" w:hAnsi="Times" w:cs="Times"/>
                <w:sz w:val="24"/>
                <w:lang w:val="en-US"/>
              </w:rPr>
            </w:pPr>
            <w:r>
              <w:rPr>
                <w:rFonts w:cs="Arial"/>
                <w:lang w:val="en-US"/>
              </w:rPr>
              <w:t xml:space="preserve">You have a legal claim to complete a first-time apprenticeship or a compulsory education, even if you are over 18 years of age. </w:t>
            </w:r>
          </w:p>
          <w:p>
            <w:pPr>
              <w:pStyle w:val="Normal"/>
              <w:widowControl w:val="false"/>
              <w:rPr>
                <w:b/>
                <w:b/>
                <w:sz w:val="22"/>
                <w:lang w:val="en-US"/>
              </w:rPr>
            </w:pPr>
            <w:r>
              <w:rPr>
                <w:b/>
                <w:sz w:val="22"/>
                <w:lang w:val="en-US"/>
              </w:rPr>
            </w:r>
          </w:p>
          <w:p>
            <w:pPr>
              <w:pStyle w:val="Normal"/>
              <w:widowControl w:val="false"/>
              <w:rPr>
                <w:b/>
                <w:b/>
                <w:sz w:val="16"/>
                <w:szCs w:val="16"/>
                <w:lang w:val="en-US"/>
              </w:rPr>
            </w:pPr>
            <w:r>
              <w:rPr>
                <w:b/>
                <w:sz w:val="16"/>
                <w:szCs w:val="16"/>
                <w:lang w:val="en-US"/>
              </w:rPr>
            </w:r>
          </w:p>
          <w:p>
            <w:pPr>
              <w:pStyle w:val="Normal"/>
              <w:widowControl w:val="false"/>
              <w:jc w:val="center"/>
              <w:rPr>
                <w:b/>
                <w:b/>
                <w:sz w:val="16"/>
                <w:szCs w:val="16"/>
                <w:lang w:val="en-US"/>
              </w:rPr>
            </w:pPr>
            <w:r>
              <w:rPr>
                <w:b/>
                <w:sz w:val="16"/>
                <w:szCs w:val="16"/>
                <w:lang w:val="en-US"/>
              </w:rPr>
            </w:r>
          </w:p>
          <w:p>
            <w:pPr>
              <w:pStyle w:val="Normal"/>
              <w:widowControl w:val="false"/>
              <w:jc w:val="center"/>
              <w:rPr>
                <w:b/>
                <w:b/>
                <w:sz w:val="16"/>
                <w:szCs w:val="16"/>
                <w:lang w:val="en-US"/>
              </w:rPr>
            </w:pPr>
            <w:r>
              <w:rPr>
                <w:b/>
                <w:sz w:val="16"/>
                <w:szCs w:val="16"/>
                <w:lang w:val="en-US"/>
              </w:rPr>
            </w:r>
          </w:p>
          <w:p>
            <w:pPr>
              <w:pStyle w:val="Normal"/>
              <w:widowControl w:val="false"/>
              <w:jc w:val="center"/>
              <w:rPr>
                <w:b/>
                <w:b/>
                <w:sz w:val="16"/>
                <w:szCs w:val="16"/>
                <w:lang w:val="en-US"/>
              </w:rPr>
            </w:pPr>
            <w:r>
              <w:rPr>
                <w:b/>
                <w:sz w:val="16"/>
                <w:szCs w:val="16"/>
                <w:lang w:val="en-US"/>
              </w:rPr>
            </w:r>
          </w:p>
          <w:p>
            <w:pPr>
              <w:pStyle w:val="Normal"/>
              <w:widowControl w:val="false"/>
              <w:jc w:val="center"/>
              <w:rPr>
                <w:b/>
                <w:b/>
                <w:sz w:val="16"/>
                <w:szCs w:val="16"/>
                <w:lang w:val="en-US"/>
              </w:rPr>
            </w:pPr>
            <w:r>
              <w:rPr>
                <w:b/>
                <w:sz w:val="16"/>
                <w:szCs w:val="16"/>
                <w:lang w:val="en-US"/>
              </w:rPr>
            </w:r>
          </w:p>
          <w:p>
            <w:pPr>
              <w:pStyle w:val="Normal"/>
              <w:widowControl w:val="false"/>
              <w:rPr>
                <w:b/>
                <w:b/>
                <w:sz w:val="16"/>
                <w:szCs w:val="16"/>
                <w:lang w:val="en-US"/>
              </w:rPr>
            </w:pPr>
            <w:r>
              <w:rPr>
                <w:b/>
                <w:sz w:val="16"/>
                <w:szCs w:val="16"/>
                <w:lang w:val="en-US"/>
              </w:rPr>
            </w:r>
          </w:p>
          <w:p>
            <w:pPr>
              <w:pStyle w:val="Normal"/>
              <w:widowControl w:val="false"/>
              <w:jc w:val="right"/>
              <w:rPr>
                <w:b/>
                <w:b/>
                <w:sz w:val="16"/>
                <w:szCs w:val="16"/>
                <w:lang w:val="en-US"/>
              </w:rPr>
            </w:pPr>
            <w:r>
              <w:rPr>
                <w:b/>
                <w:sz w:val="16"/>
                <w:szCs w:val="16"/>
                <w:lang w:val="en-US"/>
              </w:rPr>
            </w:r>
          </w:p>
          <w:p>
            <w:pPr>
              <w:pStyle w:val="Normal"/>
              <w:widowControl w:val="false"/>
              <w:jc w:val="right"/>
              <w:rPr>
                <w:b/>
                <w:b/>
                <w:sz w:val="16"/>
                <w:szCs w:val="16"/>
                <w:lang w:val="en-US"/>
              </w:rPr>
            </w:pPr>
            <w:r>
              <w:rPr>
                <w:b/>
                <w:sz w:val="16"/>
                <w:szCs w:val="16"/>
                <w:lang w:val="en-US"/>
              </w:rPr>
              <w:t>page 1</w:t>
            </w:r>
          </w:p>
          <w:p>
            <w:pPr>
              <w:pStyle w:val="Normal"/>
              <w:widowControl w:val="false"/>
              <w:rPr>
                <w:rFonts w:cs="Arial"/>
                <w:b/>
                <w:b/>
                <w:sz w:val="22"/>
                <w:szCs w:val="22"/>
                <w:lang w:val="en-US"/>
              </w:rPr>
            </w:pPr>
            <w:r>
              <w:rPr>
                <w:rFonts w:cs="Arial"/>
                <w:b/>
                <w:sz w:val="22"/>
                <w:szCs w:val="22"/>
                <w:lang w:val="en-US"/>
              </w:rPr>
              <w:t xml:space="preserve">Benefits for housing: </w:t>
            </w:r>
          </w:p>
          <w:p>
            <w:pPr>
              <w:pStyle w:val="Normal"/>
              <w:widowControl w:val="false"/>
              <w:rPr>
                <w:b/>
                <w:b/>
                <w:sz w:val="22"/>
                <w:szCs w:val="22"/>
                <w:lang w:val="en-US"/>
              </w:rPr>
            </w:pPr>
            <w:r>
              <w:rPr>
                <w:rFonts w:cs="Arial"/>
                <w:b/>
                <w:sz w:val="22"/>
                <w:szCs w:val="22"/>
                <w:lang w:val="en-US"/>
              </w:rPr>
              <w:t>Basic benefits and additional benefits</w:t>
            </w:r>
          </w:p>
          <w:p>
            <w:pPr>
              <w:pStyle w:val="ListParagraph"/>
              <w:widowControl w:val="false"/>
              <w:numPr>
                <w:ilvl w:val="0"/>
                <w:numId w:val="1"/>
              </w:numPr>
              <w:jc w:val="both"/>
              <w:rPr>
                <w:rFonts w:cs="Arial"/>
                <w:b/>
                <w:b/>
                <w:lang w:val="en-US"/>
              </w:rPr>
            </w:pPr>
            <w:r>
              <w:rPr>
                <w:rFonts w:cs="Arial"/>
                <w:b/>
                <w:lang w:val="en-US"/>
              </w:rPr>
              <w:t>Housing costs:</w:t>
            </w:r>
          </w:p>
          <w:p>
            <w:pPr>
              <w:pStyle w:val="ListParagraph"/>
              <w:widowControl w:val="false"/>
              <w:ind w:left="360" w:hanging="0"/>
              <w:jc w:val="both"/>
              <w:rPr>
                <w:rFonts w:cs="Arial"/>
                <w:b/>
                <w:b/>
                <w:lang w:val="en-US"/>
              </w:rPr>
            </w:pPr>
            <w:r>
              <w:rPr>
                <w:rFonts w:cs="Arial"/>
                <w:lang w:val="en-US"/>
              </w:rPr>
              <w:t xml:space="preserve">The costs are </w:t>
            </w:r>
            <w:r>
              <w:rPr>
                <w:rFonts w:cs="Arial"/>
                <w:b/>
                <w:lang w:val="en-US"/>
              </w:rPr>
              <w:t>limited by district as per the amounts set in the regulation!</w:t>
            </w:r>
            <w:r>
              <w:rPr>
                <w:rFonts w:cs="Arial"/>
                <w:lang w:val="en-US"/>
              </w:rPr>
              <w:t xml:space="preserve"> You must pay the difference between the actual costs and the regulation set maximum from the benefits to secure subsistence!</w:t>
            </w:r>
          </w:p>
          <w:p>
            <w:pPr>
              <w:pStyle w:val="ListParagraph"/>
              <w:widowControl w:val="false"/>
              <w:numPr>
                <w:ilvl w:val="0"/>
                <w:numId w:val="1"/>
              </w:numPr>
              <w:jc w:val="both"/>
              <w:rPr>
                <w:rFonts w:cs="Arial"/>
                <w:b/>
                <w:b/>
                <w:lang w:val="en-US"/>
              </w:rPr>
            </w:pPr>
            <w:r>
              <w:rPr>
                <w:rFonts w:cs="Arial"/>
                <w:b/>
                <w:lang w:val="en-US"/>
              </w:rPr>
              <w:t>Flat renting (Anmietung):</w:t>
            </w:r>
          </w:p>
          <w:p>
            <w:pPr>
              <w:pStyle w:val="ListParagraph"/>
              <w:widowControl w:val="false"/>
              <w:ind w:left="360" w:hanging="0"/>
              <w:jc w:val="both"/>
              <w:rPr>
                <w:rFonts w:cs="Arial"/>
                <w:b/>
                <w:b/>
                <w:lang w:val="en-US"/>
              </w:rPr>
            </w:pPr>
            <w:r>
              <w:rPr>
                <w:rFonts w:cs="Arial"/>
                <w:lang w:val="en-US"/>
              </w:rPr>
              <w:t xml:space="preserve">Costs connected with renting are </w:t>
            </w:r>
            <w:r>
              <w:rPr>
                <w:rFonts w:cs="Arial"/>
                <w:b/>
                <w:lang w:val="en-US"/>
              </w:rPr>
              <w:t>only paid proportionately</w:t>
            </w:r>
            <w:r>
              <w:rPr>
                <w:rFonts w:cs="Arial"/>
                <w:lang w:val="en-US"/>
              </w:rPr>
              <w:t xml:space="preserve"> to the regulation set maximum. </w:t>
            </w:r>
            <w:r>
              <w:rPr>
                <w:rFonts w:cs="Arial"/>
                <w:b/>
                <w:w w:val="96"/>
                <w:lang w:val="en-US"/>
              </w:rPr>
              <w:t>There is no legal claim to payment of brokerage commission!</w:t>
            </w:r>
            <w:r>
              <w:rPr>
                <w:rFonts w:cs="Arial"/>
                <w:w w:val="96"/>
                <w:lang w:val="en-US"/>
              </w:rPr>
              <w:t xml:space="preserve"> The allowance (in terms of “allowed savings”) for renting is € 2,311.68. If this maximum is exceeded, you must use your savings.</w:t>
            </w:r>
          </w:p>
          <w:p>
            <w:pPr>
              <w:pStyle w:val="ListParagraph"/>
              <w:widowControl w:val="false"/>
              <w:numPr>
                <w:ilvl w:val="0"/>
                <w:numId w:val="1"/>
              </w:numPr>
              <w:jc w:val="both"/>
              <w:rPr>
                <w:rFonts w:cs="Arial"/>
                <w:b/>
                <w:b/>
                <w:lang w:val="en-US"/>
              </w:rPr>
            </w:pPr>
            <w:r>
              <w:rPr>
                <w:rFonts w:cs="Arial"/>
                <w:b/>
                <w:lang w:val="en-US"/>
              </w:rPr>
              <w:t xml:space="preserve">Basic equipment: </w:t>
            </w:r>
          </w:p>
          <w:p>
            <w:pPr>
              <w:pStyle w:val="ListParagraph"/>
              <w:widowControl w:val="false"/>
              <w:ind w:left="360" w:hanging="0"/>
              <w:jc w:val="both"/>
              <w:rPr>
                <w:rFonts w:cs="Arial"/>
                <w:b/>
                <w:b/>
                <w:lang w:val="en-US"/>
              </w:rPr>
            </w:pPr>
            <w:r>
              <w:rPr>
                <w:rFonts w:cs="Arial"/>
                <w:lang w:val="en-US"/>
              </w:rPr>
              <w:t xml:space="preserve">Costs to equip the flat (furniture and household goods) are usually paid only </w:t>
            </w:r>
            <w:r>
              <w:rPr>
                <w:rFonts w:cs="Arial"/>
                <w:b/>
                <w:lang w:val="en-US"/>
              </w:rPr>
              <w:t>once</w:t>
            </w:r>
            <w:r>
              <w:rPr>
                <w:rFonts w:cs="Arial"/>
                <w:lang w:val="en-US"/>
              </w:rPr>
              <w:t xml:space="preserve">. These amounts are also limited to the regulation set maximum! </w:t>
            </w:r>
          </w:p>
          <w:p>
            <w:pPr>
              <w:pStyle w:val="Normal"/>
              <w:widowControl w:val="false"/>
              <w:numPr>
                <w:ilvl w:val="0"/>
                <w:numId w:val="1"/>
              </w:numPr>
              <w:jc w:val="both"/>
              <w:rPr>
                <w:lang w:val="en-US"/>
              </w:rPr>
            </w:pPr>
            <w:r>
              <w:rPr>
                <w:rFonts w:cs="Arial"/>
                <w:lang w:val="en-US"/>
              </w:rPr>
              <w:t>For adaptations, renovations and repairs (e.g. washing machine, stove, floors, etc.) benefits can be granted after consultation with the social welfare office.</w:t>
            </w:r>
          </w:p>
          <w:p>
            <w:pPr>
              <w:pStyle w:val="BodyText3"/>
              <w:widowControl w:val="false"/>
              <w:spacing w:before="0" w:after="200"/>
              <w:rPr>
                <w:b/>
                <w:b/>
                <w:spacing w:val="-2"/>
                <w:lang w:val="en-US"/>
              </w:rPr>
            </w:pPr>
            <w:r>
              <w:rPr>
                <w:spacing w:val="-2"/>
                <w:highlight w:val="yellow"/>
                <w:lang w:val="en-US"/>
              </w:rPr>
              <w:br/>
            </w:r>
            <w:r>
              <w:rPr>
                <w:b/>
                <w:lang w:val="en-US"/>
              </w:rPr>
              <w:t>It is absolutely necessary to check all of these expenses with a competent social welfare office in advance!</w:t>
            </w:r>
          </w:p>
          <w:p>
            <w:pPr>
              <w:pStyle w:val="Normal"/>
              <w:widowControl w:val="false"/>
              <w:tabs>
                <w:tab w:val="clear" w:pos="708"/>
                <w:tab w:val="left" w:pos="227" w:leader="none"/>
              </w:tabs>
              <w:spacing w:lineRule="atLeast" w:line="260"/>
              <w:jc w:val="both"/>
              <w:rPr>
                <w:b/>
                <w:b/>
                <w:lang w:val="en-US"/>
              </w:rPr>
            </w:pPr>
            <w:r>
              <w:rPr>
                <w:rFonts w:cs="Arial"/>
                <w:b/>
                <w:lang w:val="en-US"/>
              </w:rPr>
              <w:t>Right of assignment:</w:t>
            </w:r>
            <w:r>
              <w:rPr>
                <w:b/>
                <w:lang w:val="en-US"/>
              </w:rPr>
              <w:t xml:space="preserve"> </w:t>
            </w:r>
          </w:p>
          <w:p>
            <w:pPr>
              <w:pStyle w:val="ListParagraph"/>
              <w:widowControl w:val="false"/>
              <w:numPr>
                <w:ilvl w:val="0"/>
                <w:numId w:val="1"/>
              </w:numPr>
              <w:jc w:val="both"/>
              <w:rPr>
                <w:rFonts w:cs="Arial"/>
                <w:lang w:val="en-US"/>
              </w:rPr>
            </w:pPr>
            <w:r>
              <w:rPr>
                <w:rFonts w:cs="Arial"/>
                <w:lang w:val="en-US"/>
              </w:rPr>
              <w:t xml:space="preserve">A competent social welfare office has the right to assign you to an “accommodation” – this need not be a flat, a room in a home or shared flat is possible as well! The assignment cannot be put on hold (suspensive effect) by filing an appeal (complaint). If you do not follow the assignment within the period of 4 weeks, you do not get benefits for housing costs for the following 6 months. </w:t>
            </w:r>
          </w:p>
          <w:p>
            <w:pPr>
              <w:pStyle w:val="Normal"/>
              <w:widowControl w:val="false"/>
              <w:numPr>
                <w:ilvl w:val="0"/>
                <w:numId w:val="1"/>
              </w:numPr>
              <w:spacing w:before="0" w:after="200"/>
              <w:jc w:val="both"/>
              <w:rPr>
                <w:b/>
                <w:b/>
                <w:szCs w:val="20"/>
                <w:lang w:val="en-US"/>
              </w:rPr>
            </w:pPr>
            <w:r>
              <w:rPr>
                <w:rFonts w:cs="Arial"/>
                <w:lang w:val="en-US"/>
              </w:rPr>
              <w:t>There are certain circumstances (e.g. rental contract running for more than 3 months, long distance to the children’s school, workplace or course etc.) which need to be considered by a competent social welfare office in the assignment process. If you are assigned against your will, get in touch with a counselling centre as soon as possible!</w:t>
            </w:r>
          </w:p>
          <w:p>
            <w:pPr>
              <w:pStyle w:val="Normal"/>
              <w:widowControl w:val="false"/>
              <w:spacing w:before="0" w:after="120"/>
              <w:rPr>
                <w:sz w:val="22"/>
                <w:szCs w:val="22"/>
                <w:lang w:val="en-US"/>
              </w:rPr>
            </w:pPr>
            <w:r>
              <w:rPr>
                <w:rFonts w:cs="Arial"/>
                <w:b/>
                <w:sz w:val="22"/>
                <w:szCs w:val="22"/>
                <w:lang w:val="en-US"/>
              </w:rPr>
              <w:t>Other additional benefits</w:t>
            </w:r>
          </w:p>
          <w:p>
            <w:pPr>
              <w:pStyle w:val="Normal"/>
              <w:widowControl w:val="false"/>
              <w:rPr>
                <w:rFonts w:cs="Arial"/>
                <w:b/>
                <w:b/>
                <w:lang w:val="en-US"/>
              </w:rPr>
            </w:pPr>
            <w:r>
              <w:rPr>
                <w:rFonts w:cs="Arial"/>
                <w:b/>
                <w:lang w:val="en-US"/>
              </w:rPr>
              <w:t>Help towards work:</w:t>
            </w:r>
            <w:r>
              <w:rPr>
                <w:b/>
                <w:szCs w:val="20"/>
                <w:lang w:val="en-US"/>
              </w:rPr>
              <w:br/>
            </w:r>
            <w:r>
              <w:rPr>
                <w:rFonts w:cs="Arial"/>
                <w:lang w:val="en-US"/>
              </w:rPr>
              <w:t xml:space="preserve">- payment of training prescribed by a competent social welfare or the AMS as long as the costs must not be paid by third parties </w:t>
            </w:r>
          </w:p>
          <w:p>
            <w:pPr>
              <w:pStyle w:val="Normal"/>
              <w:widowControl w:val="false"/>
              <w:jc w:val="both"/>
              <w:rPr>
                <w:rFonts w:cs="Arial"/>
                <w:lang w:val="en-US"/>
              </w:rPr>
            </w:pPr>
            <w:r>
              <w:rPr>
                <w:rFonts w:cs="Arial"/>
                <w:lang w:val="en-US"/>
              </w:rPr>
              <w:t>- travel costs to and from the course (for the cheapest form of public transport)</w:t>
            </w:r>
          </w:p>
          <w:p>
            <w:pPr>
              <w:pStyle w:val="Normal"/>
              <w:widowControl w:val="false"/>
              <w:tabs>
                <w:tab w:val="clear" w:pos="708"/>
                <w:tab w:val="left" w:pos="227" w:leader="none"/>
              </w:tabs>
              <w:spacing w:lineRule="atLeast" w:line="260"/>
              <w:jc w:val="both"/>
              <w:rPr>
                <w:lang w:val="en-US"/>
              </w:rPr>
            </w:pPr>
            <w:r>
              <w:rPr>
                <w:rFonts w:cs="Arial"/>
                <w:lang w:val="en-US"/>
              </w:rPr>
              <w:t>- examination fees for German courses (for A2 or B1)</w:t>
            </w:r>
          </w:p>
          <w:p>
            <w:pPr>
              <w:pStyle w:val="Normal"/>
              <w:widowControl w:val="false"/>
              <w:tabs>
                <w:tab w:val="clear" w:pos="708"/>
                <w:tab w:val="left" w:pos="227" w:leader="none"/>
              </w:tabs>
              <w:spacing w:lineRule="atLeast" w:line="260"/>
              <w:jc w:val="both"/>
              <w:rPr>
                <w:sz w:val="14"/>
                <w:szCs w:val="18"/>
                <w:lang w:val="en-US"/>
              </w:rPr>
            </w:pPr>
            <w:r>
              <w:rPr>
                <w:sz w:val="14"/>
                <w:szCs w:val="18"/>
                <w:lang w:val="en-US"/>
              </w:rPr>
            </w:r>
          </w:p>
          <w:p>
            <w:pPr>
              <w:pStyle w:val="Normal"/>
              <w:widowControl w:val="false"/>
              <w:tabs>
                <w:tab w:val="clear" w:pos="708"/>
                <w:tab w:val="left" w:pos="227" w:leader="none"/>
              </w:tabs>
              <w:spacing w:lineRule="atLeast" w:line="260"/>
              <w:jc w:val="both"/>
              <w:rPr>
                <w:b/>
                <w:b/>
                <w:szCs w:val="20"/>
                <w:lang w:val="en-US"/>
              </w:rPr>
            </w:pPr>
            <w:r>
              <w:rPr>
                <w:rFonts w:cs="Arial"/>
                <w:b/>
                <w:lang w:val="en-US"/>
              </w:rPr>
              <w:t>Other special benefits</w:t>
            </w:r>
            <w:r>
              <w:rPr>
                <w:b/>
                <w:szCs w:val="20"/>
                <w:lang w:val="en-US"/>
              </w:rPr>
              <w:t>:</w:t>
            </w:r>
          </w:p>
          <w:p>
            <w:pPr>
              <w:pStyle w:val="Normal"/>
              <w:widowControl w:val="false"/>
              <w:tabs>
                <w:tab w:val="clear" w:pos="708"/>
                <w:tab w:val="left" w:pos="227" w:leader="none"/>
              </w:tabs>
              <w:spacing w:before="0" w:after="0"/>
              <w:jc w:val="both"/>
              <w:rPr/>
            </w:pPr>
            <w:r>
              <w:rPr>
                <w:rFonts w:cs="Arial"/>
                <w:lang w:val="en-US"/>
              </w:rPr>
              <w:t xml:space="preserve">- additionally € 35.-- per month, with documented diabetes or HIV disease; beyond that amount (up to a maximum of € </w:t>
            </w:r>
            <w:r>
              <w:rPr>
                <w:rFonts w:cs="Arial"/>
                <w:lang w:val="de-DE"/>
              </w:rPr>
              <w:t>173.38</w:t>
            </w:r>
            <w:r>
              <w:rPr>
                <w:rFonts w:cs="Arial"/>
                <w:lang w:val="en-US"/>
              </w:rPr>
              <w:t>), with evidence of increased illness-related expenses</w:t>
            </w:r>
            <w:r>
              <w:rPr>
                <w:lang w:val="en-US"/>
              </w:rPr>
              <w:t>.</w:t>
            </w:r>
          </w:p>
          <w:p>
            <w:pPr>
              <w:pStyle w:val="Normal"/>
              <w:widowControl w:val="false"/>
              <w:tabs>
                <w:tab w:val="clear" w:pos="708"/>
                <w:tab w:val="left" w:pos="227" w:leader="none"/>
              </w:tabs>
              <w:spacing w:before="0" w:after="0"/>
              <w:jc w:val="both"/>
              <w:rPr/>
            </w:pPr>
            <w:r>
              <w:rPr/>
            </w:r>
          </w:p>
          <w:p>
            <w:pPr>
              <w:pStyle w:val="Normal"/>
              <w:widowControl w:val="false"/>
              <w:tabs>
                <w:tab w:val="clear" w:pos="708"/>
                <w:tab w:val="left" w:pos="227" w:leader="none"/>
              </w:tabs>
              <w:spacing w:before="0" w:after="0"/>
              <w:jc w:val="both"/>
              <w:rPr/>
            </w:pPr>
            <w:r>
              <w:rPr/>
            </w:r>
          </w:p>
          <w:p>
            <w:pPr>
              <w:pStyle w:val="Normal"/>
              <w:widowControl w:val="false"/>
              <w:tabs>
                <w:tab w:val="clear" w:pos="708"/>
                <w:tab w:val="left" w:pos="227" w:leader="none"/>
              </w:tabs>
              <w:spacing w:before="0" w:after="0"/>
              <w:jc w:val="both"/>
              <w:rPr/>
            </w:pPr>
            <w:r>
              <w:rPr/>
            </w:r>
          </w:p>
          <w:p>
            <w:pPr>
              <w:pStyle w:val="Normal"/>
              <w:widowControl w:val="false"/>
              <w:tabs>
                <w:tab w:val="clear" w:pos="708"/>
                <w:tab w:val="left" w:pos="227" w:leader="none"/>
              </w:tabs>
              <w:spacing w:before="0" w:after="0"/>
              <w:jc w:val="both"/>
              <w:rPr/>
            </w:pPr>
            <w:r>
              <w:rPr/>
            </w:r>
          </w:p>
          <w:p>
            <w:pPr>
              <w:pStyle w:val="Normal"/>
              <w:widowControl w:val="false"/>
              <w:jc w:val="right"/>
              <w:rPr>
                <w:b/>
                <w:b/>
                <w:sz w:val="16"/>
                <w:szCs w:val="16"/>
                <w:lang w:val="en-US"/>
              </w:rPr>
            </w:pPr>
            <w:r>
              <w:rPr>
                <w:b/>
                <w:sz w:val="16"/>
                <w:szCs w:val="16"/>
                <w:lang w:val="en-US"/>
              </w:rPr>
              <w:t>Page 2</w:t>
            </w:r>
          </w:p>
          <w:p>
            <w:pPr>
              <w:pStyle w:val="ListParagraph"/>
              <w:widowControl w:val="false"/>
              <w:numPr>
                <w:ilvl w:val="0"/>
                <w:numId w:val="1"/>
              </w:numPr>
              <w:jc w:val="both"/>
              <w:rPr>
                <w:rFonts w:cs="Arial"/>
                <w:lang w:val="en-US"/>
              </w:rPr>
            </w:pPr>
            <w:r>
              <w:rPr>
                <w:rFonts w:cs="Arial"/>
                <w:b/>
                <w:lang w:val="en-US"/>
              </w:rPr>
              <w:t>IMPORTANT:</w:t>
            </w:r>
            <w:r>
              <w:rPr>
                <w:rFonts w:cs="Arial"/>
                <w:lang w:val="en-US"/>
              </w:rPr>
              <w:t xml:space="preserve"> You are entitled to minimum income benefits even without a registered address (e.g. if you are homeless).</w:t>
            </w:r>
          </w:p>
          <w:p>
            <w:pPr>
              <w:pStyle w:val="ListParagraph"/>
              <w:widowControl w:val="false"/>
              <w:numPr>
                <w:ilvl w:val="0"/>
                <w:numId w:val="1"/>
              </w:numPr>
              <w:jc w:val="both"/>
              <w:rPr>
                <w:rFonts w:cs="Arial"/>
                <w:lang w:val="en-US"/>
              </w:rPr>
            </w:pPr>
            <w:r>
              <w:rPr>
                <w:rFonts w:cs="Arial"/>
                <w:lang w:val="en-US"/>
              </w:rPr>
              <w:t>When submitting the application, request a written decision! Fill out the application as accurately as possible! Describe what you need the minimum income benefits for and whether you need one-time or ongoing support. It is of course possible to get immediate support if you are completely out of money!</w:t>
            </w:r>
          </w:p>
          <w:p>
            <w:pPr>
              <w:pStyle w:val="ListParagraph"/>
              <w:widowControl w:val="false"/>
              <w:numPr>
                <w:ilvl w:val="0"/>
                <w:numId w:val="1"/>
              </w:numPr>
              <w:spacing w:before="0" w:after="60"/>
              <w:ind w:left="357" w:hanging="357"/>
              <w:contextualSpacing/>
              <w:jc w:val="both"/>
              <w:rPr>
                <w:rFonts w:cs="Arial"/>
                <w:lang w:val="en-US"/>
              </w:rPr>
            </w:pPr>
            <w:r>
              <w:rPr>
                <w:rFonts w:cs="Arial"/>
                <w:lang w:val="en-US"/>
              </w:rPr>
              <w:t>At your request, the competent social welfare office must give you the decision in writing. You can file a complaint against it within 4 weeks! The complaint must be submitted to a competent social welfare office</w:t>
            </w:r>
            <w:r>
              <w:rPr>
                <w:lang w:val="en-US"/>
              </w:rPr>
              <w:t>.</w:t>
            </w:r>
          </w:p>
          <w:p>
            <w:pPr>
              <w:pStyle w:val="Normal"/>
              <w:widowControl w:val="false"/>
              <w:jc w:val="center"/>
              <w:rPr>
                <w:rFonts w:cs="Arial"/>
                <w:lang w:val="en-US"/>
              </w:rPr>
            </w:pPr>
            <w:r>
              <w:rPr/>
            </w:r>
          </w:p>
          <w:p>
            <w:pPr>
              <w:pStyle w:val="Normal"/>
              <w:widowControl w:val="false"/>
              <w:jc w:val="center"/>
              <w:rPr>
                <w:rFonts w:cs="Arial"/>
                <w:lang w:val="en-US"/>
              </w:rPr>
            </w:pPr>
            <w:r>
              <w:rPr>
                <w:rFonts w:cs="Arial"/>
                <w:lang w:val="en-US"/>
              </w:rPr>
              <w:t>For more information, visit:</w:t>
            </w:r>
          </w:p>
          <w:p>
            <w:pPr>
              <w:pStyle w:val="Normal"/>
              <w:widowControl w:val="false"/>
              <w:jc w:val="center"/>
              <w:rPr>
                <w:b/>
                <w:b/>
                <w:lang w:val="en-US"/>
              </w:rPr>
            </w:pPr>
            <w:r>
              <w:rPr>
                <w:lang w:val="en-US"/>
              </w:rPr>
              <w:t xml:space="preserve"> </w:t>
            </w:r>
            <w:hyperlink r:id="rId2">
              <w:r>
                <w:rPr>
                  <w:rStyle w:val="Internetverknpfung"/>
                  <w:b/>
                  <w:lang w:val="en-US"/>
                </w:rPr>
                <w:t>www.mindestsicherungtirol.at</w:t>
              </w:r>
            </w:hyperlink>
          </w:p>
          <w:p>
            <w:pPr>
              <w:pStyle w:val="Normal"/>
              <w:widowControl w:val="false"/>
              <w:jc w:val="center"/>
              <w:rPr>
                <w:lang w:val="en-US"/>
              </w:rPr>
            </w:pPr>
            <w:r>
              <w:rPr>
                <w:lang w:val="en-US"/>
              </w:rPr>
            </w:r>
          </w:p>
          <w:p>
            <w:pPr>
              <w:pStyle w:val="Normal"/>
              <w:widowControl w:val="false"/>
              <w:rPr>
                <w:lang w:val="en-US"/>
              </w:rPr>
            </w:pPr>
            <w:r>
              <w:rPr>
                <w:lang w:val="en-US"/>
              </w:rPr>
            </w:r>
          </w:p>
          <w:p>
            <w:pPr>
              <w:pStyle w:val="Normal"/>
              <w:widowControl w:val="false"/>
              <w:spacing w:before="60" w:after="0"/>
              <w:jc w:val="center"/>
              <w:rPr>
                <w:b/>
                <w:b/>
                <w:sz w:val="22"/>
                <w:lang w:val="en-US"/>
              </w:rPr>
            </w:pPr>
            <w:r>
              <w:rPr/>
              <w:drawing>
                <wp:inline distT="0" distB="0" distL="0" distR="0">
                  <wp:extent cx="510540" cy="510540"/>
                  <wp:effectExtent l="0" t="0" r="0" b="0"/>
                  <wp:docPr id="1" name="Grafik 1"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Vorschau Ihres QR Code"/>
                          <pic:cNvPicPr>
                            <a:picLocks noChangeAspect="1" noChangeArrowheads="1"/>
                          </pic:cNvPicPr>
                        </pic:nvPicPr>
                        <pic:blipFill>
                          <a:blip r:embed="rId3"/>
                          <a:stretch>
                            <a:fillRect/>
                          </a:stretch>
                        </pic:blipFill>
                        <pic:spPr bwMode="auto">
                          <a:xfrm>
                            <a:off x="0" y="0"/>
                            <a:ext cx="510540" cy="510540"/>
                          </a:xfrm>
                          <a:prstGeom prst="rect">
                            <a:avLst/>
                          </a:prstGeom>
                        </pic:spPr>
                      </pic:pic>
                    </a:graphicData>
                  </a:graphic>
                </wp:inline>
              </w:drawing>
            </w:r>
          </w:p>
          <w:p>
            <w:pPr>
              <w:pStyle w:val="Normal"/>
              <w:widowControl w:val="false"/>
              <w:spacing w:before="60" w:after="0"/>
              <w:jc w:val="both"/>
              <w:rPr>
                <w:b/>
                <w:b/>
                <w:sz w:val="22"/>
                <w:lang w:val="en-US"/>
              </w:rPr>
            </w:pPr>
            <w:r>
              <w:rPr>
                <w:b/>
                <w:sz w:val="22"/>
                <w:lang w:val="en-US"/>
              </w:rPr>
            </w:r>
          </w:p>
          <w:p>
            <w:pPr>
              <w:pStyle w:val="Normal"/>
              <w:widowControl w:val="false"/>
              <w:jc w:val="left"/>
              <w:rPr>
                <w:sz w:val="22"/>
                <w:szCs w:val="22"/>
                <w:lang w:val="en-US"/>
              </w:rPr>
            </w:pPr>
            <w:r>
              <w:rPr>
                <w:rFonts w:cs="Arial"/>
                <w:b/>
                <w:sz w:val="22"/>
                <w:szCs w:val="22"/>
                <w:lang w:val="en-US"/>
              </w:rPr>
              <w:t>Counselling centers in Innsbruck</w:t>
            </w:r>
            <w:r>
              <w:rPr>
                <w:sz w:val="22"/>
                <w:szCs w:val="22"/>
                <w:lang w:val="en-US"/>
              </w:rPr>
              <w:t>:</w:t>
              <w:br/>
            </w:r>
          </w:p>
          <w:p>
            <w:pPr>
              <w:pStyle w:val="ListParagraph"/>
              <w:widowControl w:val="false"/>
              <w:numPr>
                <w:ilvl w:val="0"/>
                <w:numId w:val="4"/>
              </w:numPr>
              <w:rPr>
                <w:rFonts w:cs="Arial"/>
                <w:lang w:val="en-US"/>
              </w:rPr>
            </w:pPr>
            <w:r>
              <w:rPr>
                <w:rFonts w:cs="Arial"/>
                <w:lang w:val="en-US"/>
              </w:rPr>
              <w:t>“</w:t>
            </w:r>
            <w:r>
              <w:rPr>
                <w:rFonts w:cs="Arial"/>
                <w:lang w:val="en-US"/>
              </w:rPr>
              <w:t>lila wohnt” formerly “</w:t>
            </w:r>
            <w:r>
              <w:rPr>
                <w:rFonts w:cs="Arial"/>
                <w:lang w:val="en-US"/>
              </w:rPr>
              <w:t xml:space="preserve">DOWAS </w:t>
            </w:r>
            <w:r>
              <w:rPr>
                <w:rFonts w:cs="Arial"/>
                <w:lang w:val="en-US"/>
              </w:rPr>
              <w:t>für Frauen</w:t>
            </w:r>
            <w:r>
              <w:rPr>
                <w:rFonts w:cs="Arial"/>
                <w:lang w:val="en-US"/>
              </w:rPr>
              <w:t>”</w:t>
            </w:r>
          </w:p>
          <w:p>
            <w:pPr>
              <w:pStyle w:val="ListParagraph"/>
              <w:widowControl w:val="false"/>
              <w:rPr>
                <w:rFonts w:cs="Arial"/>
                <w:lang w:val="en-US"/>
              </w:rPr>
            </w:pPr>
            <w:r>
              <w:rPr>
                <w:rFonts w:cs="Arial"/>
                <w:lang w:val="en-US"/>
              </w:rPr>
              <w:t>Adamgasse 4</w:t>
            </w:r>
          </w:p>
          <w:p>
            <w:pPr>
              <w:pStyle w:val="ListParagraph"/>
              <w:widowControl w:val="false"/>
              <w:rPr>
                <w:rFonts w:cs="Arial"/>
                <w:lang w:val="en-US"/>
              </w:rPr>
            </w:pPr>
            <w:r>
              <w:rPr>
                <w:rFonts w:cs="Arial"/>
                <w:lang w:val="en-US"/>
              </w:rPr>
              <w:t>Phone: +43 512 / 56 24 77</w:t>
            </w:r>
          </w:p>
          <w:p>
            <w:pPr>
              <w:pStyle w:val="ListParagraph"/>
              <w:widowControl w:val="false"/>
              <w:rPr>
                <w:rFonts w:cs="Arial"/>
                <w:lang w:val="en-US"/>
              </w:rPr>
            </w:pPr>
            <w:r>
              <w:rPr>
                <w:rFonts w:cs="Arial"/>
                <w:lang w:val="en-US"/>
              </w:rPr>
            </w:r>
          </w:p>
          <w:p>
            <w:pPr>
              <w:pStyle w:val="ListParagraph"/>
              <w:widowControl w:val="false"/>
              <w:numPr>
                <w:ilvl w:val="0"/>
                <w:numId w:val="4"/>
              </w:numPr>
              <w:rPr>
                <w:rFonts w:cs="Arial"/>
                <w:lang w:val="en-US"/>
              </w:rPr>
            </w:pPr>
            <w:r>
              <w:rPr>
                <w:rFonts w:cs="Arial"/>
                <w:lang w:val="en-US"/>
              </w:rPr>
              <w:t>DOWAS</w:t>
            </w:r>
          </w:p>
          <w:p>
            <w:pPr>
              <w:pStyle w:val="ListParagraph"/>
              <w:widowControl w:val="false"/>
              <w:rPr>
                <w:rFonts w:cs="Arial"/>
                <w:lang w:val="en-US"/>
              </w:rPr>
            </w:pPr>
            <w:r>
              <w:rPr>
                <w:rFonts w:cs="Arial"/>
                <w:lang w:val="en-US"/>
              </w:rPr>
              <w:t>Leopoldstraße 18</w:t>
            </w:r>
          </w:p>
          <w:p>
            <w:pPr>
              <w:pStyle w:val="ListParagraph"/>
              <w:widowControl w:val="false"/>
              <w:rPr>
                <w:rFonts w:cs="Arial"/>
                <w:lang w:val="en-US"/>
              </w:rPr>
            </w:pPr>
            <w:r>
              <w:rPr>
                <w:rFonts w:cs="Arial"/>
                <w:lang w:val="en-US"/>
              </w:rPr>
              <w:t xml:space="preserve">Phone: +43 512 / 57 23 43 </w:t>
            </w:r>
          </w:p>
          <w:p>
            <w:pPr>
              <w:pStyle w:val="ListParagraph"/>
              <w:widowControl w:val="false"/>
              <w:rPr>
                <w:rFonts w:cs="Arial"/>
                <w:lang w:val="en-US"/>
              </w:rPr>
            </w:pPr>
            <w:r>
              <w:rPr>
                <w:rFonts w:cs="Arial"/>
                <w:lang w:val="en-US"/>
              </w:rPr>
            </w:r>
          </w:p>
          <w:p>
            <w:pPr>
              <w:pStyle w:val="ListParagraph"/>
              <w:widowControl w:val="false"/>
              <w:numPr>
                <w:ilvl w:val="0"/>
                <w:numId w:val="4"/>
              </w:numPr>
              <w:rPr>
                <w:rFonts w:cs="Arial"/>
                <w:lang w:val="en-US"/>
              </w:rPr>
            </w:pPr>
            <w:r>
              <w:rPr>
                <w:rFonts w:cs="Arial"/>
                <w:lang w:val="en-US"/>
              </w:rPr>
              <w:t xml:space="preserve">Chill Out </w:t>
            </w:r>
          </w:p>
          <w:p>
            <w:pPr>
              <w:pStyle w:val="ListParagraph"/>
              <w:widowControl w:val="false"/>
              <w:rPr>
                <w:rFonts w:cs="Arial"/>
                <w:lang w:val="en-US"/>
              </w:rPr>
            </w:pPr>
            <w:r>
              <w:rPr>
                <w:rFonts w:cs="Arial"/>
                <w:lang w:val="en-US"/>
              </w:rPr>
              <w:t>Heiliggeistraße 8a</w:t>
            </w:r>
          </w:p>
          <w:p>
            <w:pPr>
              <w:pStyle w:val="ListParagraph"/>
              <w:widowControl w:val="false"/>
              <w:rPr>
                <w:rFonts w:cs="Arial"/>
                <w:lang w:val="en-US"/>
              </w:rPr>
            </w:pPr>
            <w:r>
              <w:rPr>
                <w:rFonts w:cs="Arial"/>
                <w:lang w:val="en-US"/>
              </w:rPr>
              <w:t>Phone: +43 512 / 57 21 21</w:t>
            </w:r>
          </w:p>
          <w:p>
            <w:pPr>
              <w:pStyle w:val="ListParagraph"/>
              <w:widowControl w:val="false"/>
              <w:rPr>
                <w:rFonts w:cs="Arial"/>
                <w:lang w:val="en-US"/>
              </w:rPr>
            </w:pPr>
            <w:r>
              <w:rPr>
                <w:rFonts w:cs="Arial"/>
                <w:lang w:val="en-US"/>
              </w:rPr>
            </w:r>
          </w:p>
          <w:p>
            <w:pPr>
              <w:pStyle w:val="ListParagraph"/>
              <w:widowControl w:val="false"/>
              <w:numPr>
                <w:ilvl w:val="0"/>
                <w:numId w:val="4"/>
              </w:numPr>
              <w:rPr>
                <w:rFonts w:cs="Arial"/>
                <w:lang w:val="en-US"/>
              </w:rPr>
            </w:pPr>
            <w:r>
              <w:rPr>
                <w:rFonts w:cs="Arial"/>
                <w:lang w:val="en-US"/>
              </w:rPr>
              <w:t xml:space="preserve">BARWO and Eviction Prevention Assistance </w:t>
            </w:r>
          </w:p>
          <w:p>
            <w:pPr>
              <w:pStyle w:val="ListParagraph"/>
              <w:widowControl w:val="false"/>
              <w:rPr>
                <w:rFonts w:cs="Arial"/>
                <w:lang w:val="en-US"/>
              </w:rPr>
            </w:pPr>
            <w:r>
              <w:rPr>
                <w:rFonts w:cs="Arial"/>
                <w:lang w:val="en-US"/>
              </w:rPr>
              <w:t>Kapuzinergasse 43</w:t>
            </w:r>
          </w:p>
          <w:p>
            <w:pPr>
              <w:pStyle w:val="ListParagraph"/>
              <w:widowControl w:val="false"/>
              <w:rPr>
                <w:rFonts w:cs="Arial"/>
                <w:lang w:val="en-US"/>
              </w:rPr>
            </w:pPr>
            <w:r>
              <w:rPr>
                <w:rFonts w:cs="Arial"/>
                <w:lang w:val="en-US"/>
              </w:rPr>
              <w:t>Phone: +43 512 / 58 17 54</w:t>
            </w:r>
          </w:p>
          <w:p>
            <w:pPr>
              <w:pStyle w:val="ListParagraph"/>
              <w:widowControl w:val="false"/>
              <w:rPr>
                <w:rFonts w:cs="Arial"/>
                <w:lang w:val="en-US"/>
              </w:rPr>
            </w:pPr>
            <w:r>
              <w:rPr>
                <w:rFonts w:cs="Arial"/>
                <w:lang w:val="en-US"/>
              </w:rPr>
            </w:r>
          </w:p>
          <w:p>
            <w:pPr>
              <w:pStyle w:val="ListParagraph"/>
              <w:widowControl w:val="false"/>
              <w:numPr>
                <w:ilvl w:val="0"/>
                <w:numId w:val="4"/>
              </w:numPr>
              <w:rPr>
                <w:rFonts w:cs="Arial"/>
                <w:lang w:val="en-US"/>
              </w:rPr>
            </w:pPr>
            <w:r>
              <w:rPr>
                <w:rFonts w:cs="Arial"/>
                <w:lang w:val="en-US"/>
              </w:rPr>
              <w:t>Diakonie for Housing Counselling</w:t>
            </w:r>
          </w:p>
          <w:p>
            <w:pPr>
              <w:pStyle w:val="ListParagraph"/>
              <w:widowControl w:val="false"/>
              <w:rPr>
                <w:rFonts w:cs="Arial"/>
                <w:lang w:val="en-US"/>
              </w:rPr>
            </w:pPr>
            <w:r>
              <w:rPr>
                <w:rFonts w:cs="Arial"/>
                <w:lang w:val="en-US"/>
              </w:rPr>
              <w:t>Bürgerstraße 21</w:t>
            </w:r>
          </w:p>
          <w:p>
            <w:pPr>
              <w:pStyle w:val="ListParagraph"/>
              <w:widowControl w:val="false"/>
              <w:rPr>
                <w:rFonts w:cs="Arial"/>
                <w:lang w:val="en-US"/>
              </w:rPr>
            </w:pPr>
            <w:r>
              <w:rPr>
                <w:rFonts w:cs="Arial"/>
                <w:lang w:val="en-US"/>
              </w:rPr>
              <w:t>Phone: +43 664 / 827 34 69</w:t>
            </w:r>
          </w:p>
          <w:p>
            <w:pPr>
              <w:pStyle w:val="ListParagraph"/>
              <w:widowControl w:val="false"/>
              <w:rPr>
                <w:rFonts w:cs="Arial"/>
                <w:lang w:val="en-US"/>
              </w:rPr>
            </w:pPr>
            <w:r>
              <w:rPr>
                <w:rFonts w:cs="Arial"/>
                <w:lang w:val="en-US"/>
              </w:rPr>
            </w:r>
          </w:p>
          <w:p>
            <w:pPr>
              <w:pStyle w:val="ListParagraph"/>
              <w:widowControl w:val="false"/>
              <w:numPr>
                <w:ilvl w:val="0"/>
                <w:numId w:val="4"/>
              </w:numPr>
              <w:rPr>
                <w:rFonts w:cs="Arial"/>
                <w:lang w:val="en-US"/>
              </w:rPr>
            </w:pPr>
            <w:r>
              <w:rPr>
                <w:rFonts w:cs="Arial"/>
                <w:lang w:val="en-US"/>
              </w:rPr>
              <w:t>Center for Migrants in Tyrol (ZEMIT)</w:t>
            </w:r>
          </w:p>
          <w:p>
            <w:pPr>
              <w:pStyle w:val="ListParagraph"/>
              <w:widowControl w:val="false"/>
              <w:rPr>
                <w:rFonts w:cs="Arial"/>
                <w:lang w:val="en-US"/>
              </w:rPr>
            </w:pPr>
            <w:r>
              <w:rPr>
                <w:rFonts w:cs="Arial"/>
                <w:lang w:val="en-US"/>
              </w:rPr>
              <w:t>Andreas-Hofer-Straße 46</w:t>
            </w:r>
          </w:p>
          <w:p>
            <w:pPr>
              <w:pStyle w:val="ListParagraph"/>
              <w:widowControl w:val="false"/>
              <w:rPr>
                <w:rFonts w:cs="Arial"/>
                <w:lang w:val="en-US"/>
              </w:rPr>
            </w:pPr>
            <w:r>
              <w:rPr>
                <w:rFonts w:cs="Arial"/>
                <w:lang w:val="en-US"/>
              </w:rPr>
              <w:t>Phone: +43 512 / 57 71 70</w:t>
            </w:r>
          </w:p>
          <w:p>
            <w:pPr>
              <w:pStyle w:val="ListParagraph"/>
              <w:widowControl w:val="false"/>
              <w:rPr>
                <w:rFonts w:cs="Arial"/>
                <w:lang w:val="en-US"/>
              </w:rPr>
            </w:pPr>
            <w:r>
              <w:rPr>
                <w:rFonts w:cs="Arial"/>
                <w:lang w:val="en-US"/>
              </w:rPr>
            </w:r>
          </w:p>
          <w:p>
            <w:pPr>
              <w:pStyle w:val="ListParagraph"/>
              <w:widowControl w:val="false"/>
              <w:numPr>
                <w:ilvl w:val="0"/>
                <w:numId w:val="4"/>
              </w:numPr>
              <w:rPr>
                <w:rFonts w:cs="Arial"/>
                <w:lang w:val="en-US"/>
              </w:rPr>
            </w:pPr>
            <w:r>
              <w:rPr>
                <w:rFonts w:cs="Arial"/>
                <w:lang w:val="en-US"/>
              </w:rPr>
              <w:t>Neustart Tirol</w:t>
            </w:r>
          </w:p>
          <w:p>
            <w:pPr>
              <w:pStyle w:val="ListParagraph"/>
              <w:widowControl w:val="false"/>
              <w:rPr>
                <w:rFonts w:cs="Arial"/>
                <w:lang w:val="en-US"/>
              </w:rPr>
            </w:pPr>
            <w:r>
              <w:rPr>
                <w:rFonts w:cs="Arial"/>
                <w:lang w:val="en-US"/>
              </w:rPr>
              <w:t>Andreas-Hofer-Straße 46/3</w:t>
            </w:r>
          </w:p>
          <w:p>
            <w:pPr>
              <w:pStyle w:val="ListParagraph"/>
              <w:widowControl w:val="false"/>
              <w:rPr>
                <w:rFonts w:eastAsia="Lucida Grande"/>
                <w:sz w:val="16"/>
                <w:szCs w:val="16"/>
                <w:lang w:val="en-US"/>
              </w:rPr>
            </w:pPr>
            <w:r>
              <w:rPr>
                <w:rFonts w:cs="Arial"/>
                <w:lang w:val="en-US"/>
              </w:rPr>
              <w:t>Phone: +43 512 / 58 04 04</w:t>
            </w:r>
          </w:p>
          <w:p>
            <w:pPr>
              <w:pStyle w:val="ListParagraph"/>
              <w:widowControl w:val="false"/>
              <w:rPr>
                <w:rFonts w:eastAsia="Lucida Grande"/>
                <w:sz w:val="16"/>
                <w:szCs w:val="16"/>
                <w:lang w:val="en-US"/>
              </w:rPr>
            </w:pPr>
            <w:r>
              <w:rPr/>
            </w:r>
          </w:p>
          <w:p>
            <w:pPr>
              <w:pStyle w:val="ListParagraph"/>
              <w:widowControl w:val="false"/>
              <w:numPr>
                <w:ilvl w:val="0"/>
                <w:numId w:val="4"/>
              </w:numPr>
              <w:rPr>
                <w:rFonts w:cs="Arial"/>
                <w:lang w:val="en-US"/>
              </w:rPr>
            </w:pPr>
            <w:r>
              <w:rPr>
                <w:rFonts w:cs="Arial"/>
                <w:lang w:val="en-US"/>
              </w:rPr>
              <w:t>Neustart Tirol</w:t>
            </w:r>
          </w:p>
          <w:p>
            <w:pPr>
              <w:pStyle w:val="ListParagraph"/>
              <w:widowControl w:val="false"/>
              <w:rPr>
                <w:rFonts w:cs="Arial"/>
                <w:lang w:val="en-US"/>
              </w:rPr>
            </w:pPr>
            <w:r>
              <w:rPr>
                <w:rFonts w:cs="Arial"/>
                <w:lang w:val="en-US"/>
              </w:rPr>
              <w:t>Andreas-Hofer-Straße 46/3</w:t>
            </w:r>
          </w:p>
          <w:p>
            <w:pPr>
              <w:pStyle w:val="ListParagraph"/>
              <w:widowControl w:val="false"/>
              <w:rPr>
                <w:rFonts w:eastAsia="Lucida Grande"/>
                <w:sz w:val="16"/>
                <w:szCs w:val="16"/>
                <w:lang w:val="en-US"/>
              </w:rPr>
            </w:pPr>
            <w:r>
              <w:rPr>
                <w:rFonts w:cs="Arial"/>
                <w:lang w:val="en-US"/>
              </w:rPr>
              <w:t>Phone: +43 512 / 58 04 04</w:t>
            </w:r>
          </w:p>
          <w:p>
            <w:pPr>
              <w:pStyle w:val="ListParagraph"/>
              <w:widowControl w:val="false"/>
              <w:rPr>
                <w:rFonts w:eastAsia="Lucida Grande"/>
                <w:sz w:val="16"/>
                <w:szCs w:val="16"/>
                <w:lang w:val="en-US"/>
              </w:rPr>
            </w:pPr>
            <w:r>
              <w:rPr>
                <w:rFonts w:eastAsia="Lucida Grande"/>
                <w:sz w:val="16"/>
                <w:szCs w:val="16"/>
                <w:lang w:val="en-US"/>
              </w:rPr>
            </w:r>
          </w:p>
          <w:p>
            <w:pPr>
              <w:pStyle w:val="ListParagraph"/>
              <w:widowControl w:val="false"/>
              <w:numPr>
                <w:ilvl w:val="0"/>
                <w:numId w:val="4"/>
              </w:numPr>
              <w:rPr>
                <w:rFonts w:cs="Arial"/>
                <w:lang w:val="en-US"/>
              </w:rPr>
            </w:pPr>
            <w:r>
              <w:rPr>
                <w:rFonts w:cs="Arial"/>
                <w:lang w:val="en-US"/>
              </w:rPr>
              <w:t>Volkshilfe Tirol</w:t>
            </w:r>
          </w:p>
          <w:p>
            <w:pPr>
              <w:pStyle w:val="ListParagraph"/>
              <w:widowControl w:val="false"/>
              <w:numPr>
                <w:ilvl w:val="0"/>
                <w:numId w:val="0"/>
              </w:numPr>
              <w:ind w:left="720" w:hanging="0"/>
              <w:rPr>
                <w:sz w:val="20"/>
                <w:szCs w:val="20"/>
              </w:rPr>
            </w:pPr>
            <w:r>
              <w:rPr>
                <w:sz w:val="20"/>
                <w:szCs w:val="20"/>
                <w:lang w:val="de-DE"/>
              </w:rPr>
              <w:t xml:space="preserve">Südtiroler Platz 10-12 </w:t>
            </w:r>
          </w:p>
          <w:p>
            <w:pPr>
              <w:pStyle w:val="ListParagraph"/>
              <w:widowControl w:val="false"/>
              <w:numPr>
                <w:ilvl w:val="0"/>
                <w:numId w:val="0"/>
              </w:numPr>
              <w:ind w:left="720" w:hanging="0"/>
              <w:rPr>
                <w:rFonts w:cs="Arial"/>
                <w:lang w:val="en-US"/>
              </w:rPr>
            </w:pPr>
            <w:r>
              <w:rPr>
                <w:rFonts w:eastAsia="Lucida Grande" w:cs="Arial"/>
                <w:sz w:val="20"/>
                <w:szCs w:val="20"/>
                <w:lang w:val="de-DE"/>
              </w:rPr>
              <w:t xml:space="preserve">Tel. 0 50 890 10 00   </w:t>
            </w:r>
            <w:r>
              <w:rPr>
                <w:rFonts w:eastAsia="Lucida Grande" w:cs="Arial"/>
                <w:sz w:val="18"/>
                <w:szCs w:val="18"/>
                <w:lang w:val="de-DE"/>
              </w:rPr>
              <w:t xml:space="preserve">   </w:t>
            </w:r>
          </w:p>
          <w:p>
            <w:pPr>
              <w:pStyle w:val="ListParagraph"/>
              <w:widowControl w:val="false"/>
              <w:numPr>
                <w:ilvl w:val="0"/>
                <w:numId w:val="0"/>
              </w:numPr>
              <w:ind w:left="720" w:hanging="0"/>
              <w:rPr>
                <w:rFonts w:cs="Arial"/>
                <w:lang w:val="en-US"/>
              </w:rPr>
            </w:pPr>
            <w:r>
              <w:rPr/>
            </w:r>
          </w:p>
          <w:p>
            <w:pPr>
              <w:pStyle w:val="Normal"/>
              <w:widowControl w:val="false"/>
              <w:numPr>
                <w:ilvl w:val="0"/>
                <w:numId w:val="4"/>
              </w:numPr>
              <w:rPr>
                <w:sz w:val="20"/>
                <w:szCs w:val="20"/>
              </w:rPr>
            </w:pPr>
            <w:r>
              <w:rPr>
                <w:sz w:val="20"/>
                <w:szCs w:val="20"/>
                <w:lang w:val="de-DE"/>
              </w:rPr>
              <w:t xml:space="preserve">Inbus </w:t>
            </w:r>
          </w:p>
          <w:p>
            <w:pPr>
              <w:pStyle w:val="Normal"/>
              <w:widowControl w:val="false"/>
              <w:numPr>
                <w:ilvl w:val="0"/>
                <w:numId w:val="0"/>
              </w:numPr>
              <w:ind w:left="720" w:hanging="0"/>
              <w:rPr>
                <w:sz w:val="20"/>
                <w:szCs w:val="20"/>
              </w:rPr>
            </w:pPr>
            <w:r>
              <w:rPr>
                <w:rFonts w:eastAsia="Lucida Grande" w:cs="Arial"/>
                <w:sz w:val="20"/>
                <w:szCs w:val="20"/>
                <w:lang w:val="de-DE"/>
              </w:rPr>
              <w:t>Tel. +4367684384310</w:t>
            </w:r>
          </w:p>
          <w:p>
            <w:pPr>
              <w:pStyle w:val="Normal"/>
              <w:widowControl w:val="false"/>
              <w:jc w:val="right"/>
              <w:rPr>
                <w:rFonts w:eastAsia="Lucida Grande"/>
                <w:b/>
                <w:b/>
                <w:sz w:val="16"/>
                <w:szCs w:val="16"/>
                <w:lang w:val="en-US"/>
              </w:rPr>
            </w:pPr>
            <w:r>
              <w:rPr>
                <w:rFonts w:eastAsia="Lucida Grande"/>
                <w:b/>
                <w:sz w:val="16"/>
                <w:szCs w:val="16"/>
                <w:lang w:val="en-US"/>
              </w:rPr>
              <w:t>page 3</w:t>
            </w:r>
          </w:p>
          <w:p>
            <w:pPr>
              <w:pStyle w:val="Normal"/>
              <w:widowControl w:val="false"/>
              <w:jc w:val="right"/>
              <w:rPr>
                <w:rFonts w:eastAsia="Lucida Grande"/>
                <w:b/>
                <w:b/>
                <w:sz w:val="16"/>
                <w:szCs w:val="16"/>
                <w:lang w:val="en-US"/>
              </w:rPr>
            </w:pPr>
            <w:r>
              <w:rPr/>
            </w:r>
          </w:p>
        </w:tc>
      </w:tr>
    </w:tbl>
    <w:p>
      <w:pPr>
        <w:pStyle w:val="Normal"/>
        <w:jc w:val="center"/>
        <w:rPr>
          <w:rFonts w:cs="Arial"/>
          <w:b/>
          <w:b/>
          <w:sz w:val="22"/>
          <w:szCs w:val="22"/>
          <w:lang w:val="en-US"/>
        </w:rPr>
      </w:pPr>
      <w:r>
        <w:rPr>
          <w:rFonts w:cs="Arial"/>
          <w:b/>
          <w:sz w:val="22"/>
          <w:szCs w:val="22"/>
          <w:lang w:val="en-US"/>
        </w:rPr>
        <w:t xml:space="preserve">Maximum housing costs in Tyrol as per regulation </w:t>
      </w:r>
    </w:p>
    <w:p>
      <w:pPr>
        <w:pStyle w:val="Normal"/>
        <w:jc w:val="center"/>
        <w:rPr>
          <w:rFonts w:cs="Arial"/>
          <w:b/>
          <w:b/>
          <w:sz w:val="22"/>
          <w:szCs w:val="22"/>
          <w:lang w:val="en-US"/>
        </w:rPr>
      </w:pPr>
      <w:r>
        <w:rPr>
          <w:rFonts w:cs="Arial"/>
          <w:b/>
          <w:sz w:val="22"/>
          <w:szCs w:val="22"/>
          <w:lang w:val="en-US"/>
        </w:rPr>
        <w:t>(operating and heating costs included)</w:t>
      </w:r>
    </w:p>
    <w:p>
      <w:pPr>
        <w:pStyle w:val="Normal"/>
        <w:rPr>
          <w:rFonts w:cs="Arial"/>
          <w:sz w:val="18"/>
          <w:szCs w:val="18"/>
          <w:lang w:val="en-US"/>
        </w:rPr>
      </w:pPr>
      <w:r>
        <w:rPr/>
      </w:r>
    </w:p>
    <w:p>
      <w:pPr>
        <w:pStyle w:val="Normal"/>
        <w:rPr>
          <w:rFonts w:cs="Arial"/>
          <w:sz w:val="18"/>
          <w:szCs w:val="18"/>
          <w:lang w:val="en-US"/>
        </w:rPr>
      </w:pPr>
      <w:r>
        <w:rPr/>
      </w:r>
    </w:p>
    <w:tbl>
      <w:tblPr>
        <w:tblStyle w:val="TableNormal"/>
        <w:tblW w:w="11002" w:type="dxa"/>
        <w:jc w:val="left"/>
        <w:tblInd w:w="117" w:type="dxa"/>
        <w:tblLayout w:type="fixed"/>
        <w:tblCellMar>
          <w:top w:w="0" w:type="dxa"/>
          <w:left w:w="5" w:type="dxa"/>
          <w:bottom w:w="0" w:type="dxa"/>
          <w:right w:w="5" w:type="dxa"/>
        </w:tblCellMar>
        <w:tblLook w:val="01e0" w:noHBand="0" w:noVBand="0" w:firstColumn="1" w:lastRow="1" w:lastColumn="1" w:firstRow="1"/>
      </w:tblPr>
      <w:tblGrid>
        <w:gridCol w:w="1818"/>
        <w:gridCol w:w="1021"/>
        <w:gridCol w:w="1021"/>
        <w:gridCol w:w="1020"/>
        <w:gridCol w:w="1021"/>
        <w:gridCol w:w="1021"/>
        <w:gridCol w:w="1020"/>
        <w:gridCol w:w="1022"/>
        <w:gridCol w:w="1020"/>
        <w:gridCol w:w="1018"/>
      </w:tblGrid>
      <w:tr>
        <w:trPr>
          <w:trHeight w:val="791" w:hRule="atLeast"/>
        </w:trPr>
        <w:tc>
          <w:tcPr>
            <w:tcW w:w="1818"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spacing w:lineRule="exact" w:line="225" w:before="0" w:after="0"/>
              <w:ind w:left="107" w:hanging="0"/>
              <w:jc w:val="left"/>
              <w:rPr>
                <w:b/>
                <w:b/>
                <w:szCs w:val="20"/>
                <w:lang w:val="en-US"/>
              </w:rPr>
            </w:pPr>
            <w:r>
              <w:rPr>
                <w:b/>
                <w:w w:val="95"/>
                <w:kern w:val="0"/>
                <w:sz w:val="20"/>
                <w:szCs w:val="20"/>
                <w:lang w:val="en-US" w:eastAsia="en-US" w:bidi="ar-SA"/>
              </w:rPr>
              <w:t>District / Number of persons</w:t>
            </w:r>
          </w:p>
          <w:p>
            <w:pPr>
              <w:pStyle w:val="Normal"/>
              <w:widowControl w:val="false"/>
              <w:suppressAutoHyphens w:val="true"/>
              <w:spacing w:lineRule="exact" w:line="225" w:before="0" w:after="0"/>
              <w:ind w:left="107" w:hanging="0"/>
              <w:jc w:val="left"/>
              <w:rPr>
                <w:b/>
                <w:b/>
                <w:szCs w:val="20"/>
                <w:lang w:val="en-US"/>
              </w:rPr>
            </w:pPr>
            <w:r>
              <w:rPr>
                <w:b/>
                <w:w w:val="95"/>
                <w:kern w:val="0"/>
                <w:sz w:val="20"/>
                <w:szCs w:val="20"/>
                <w:lang w:val="en-US" w:eastAsia="en-US" w:bidi="ar-SA"/>
              </w:rPr>
              <w:t>(</w:t>
            </w:r>
            <w:r>
              <w:rPr>
                <w:b/>
                <w:w w:val="95"/>
                <w:kern w:val="0"/>
                <w:sz w:val="20"/>
                <w:szCs w:val="20"/>
                <w:lang w:val="en-US" w:eastAsia="en-US" w:bidi="ar-SA"/>
              </w:rPr>
              <w:t>11</w:t>
            </w:r>
            <w:r>
              <w:rPr>
                <w:b/>
                <w:w w:val="95"/>
                <w:kern w:val="0"/>
                <w:sz w:val="20"/>
                <w:szCs w:val="20"/>
                <w:lang w:val="en-US" w:eastAsia="en-US" w:bidi="ar-SA"/>
              </w:rPr>
              <w:t>/202</w:t>
            </w:r>
            <w:r>
              <w:rPr>
                <w:b/>
                <w:w w:val="95"/>
                <w:kern w:val="0"/>
                <w:sz w:val="20"/>
                <w:szCs w:val="20"/>
                <w:lang w:val="en-US" w:eastAsia="en-US" w:bidi="ar-SA"/>
              </w:rPr>
              <w:t>3</w:t>
            </w:r>
            <w:r>
              <w:rPr>
                <w:b/>
                <w:w w:val="95"/>
                <w:kern w:val="0"/>
                <w:sz w:val="20"/>
                <w:szCs w:val="20"/>
                <w:lang w:val="en-US" w:eastAsia="en-US" w:bidi="ar-SA"/>
              </w:rPr>
              <w:t>)</w:t>
            </w:r>
          </w:p>
        </w:tc>
        <w:tc>
          <w:tcPr>
            <w:tcW w:w="1021"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01" w:before="0" w:after="0"/>
              <w:ind w:left="100" w:right="90" w:hanging="0"/>
              <w:jc w:val="center"/>
              <w:rPr>
                <w:b/>
                <w:b/>
                <w:sz w:val="18"/>
              </w:rPr>
            </w:pPr>
            <w:r>
              <w:rPr>
                <w:b/>
                <w:kern w:val="0"/>
                <w:sz w:val="18"/>
                <w:szCs w:val="22"/>
                <w:lang w:eastAsia="en-US" w:bidi="ar-SA"/>
              </w:rPr>
              <w:t>shared flat</w:t>
            </w:r>
          </w:p>
          <w:p>
            <w:pPr>
              <w:pStyle w:val="TableParagraph"/>
              <w:widowControl w:val="false"/>
              <w:suppressAutoHyphens w:val="true"/>
              <w:spacing w:lineRule="exact" w:line="207" w:before="0" w:after="0"/>
              <w:ind w:left="100" w:right="93" w:hanging="0"/>
              <w:jc w:val="center"/>
              <w:rPr>
                <w:b/>
                <w:b/>
                <w:sz w:val="18"/>
              </w:rPr>
            </w:pPr>
            <w:r>
              <w:rPr>
                <w:b/>
                <w:kern w:val="0"/>
                <w:sz w:val="18"/>
                <w:szCs w:val="22"/>
                <w:lang w:eastAsia="en-US" w:bidi="ar-SA"/>
              </w:rPr>
              <w:t>85 %</w:t>
            </w:r>
            <w:r>
              <w:rPr>
                <w:b/>
                <w:spacing w:val="-4"/>
                <w:kern w:val="0"/>
                <w:sz w:val="18"/>
                <w:szCs w:val="22"/>
                <w:lang w:eastAsia="en-US" w:bidi="ar-SA"/>
              </w:rPr>
              <w:t xml:space="preserve"> </w:t>
            </w:r>
            <w:r>
              <w:rPr>
                <w:b/>
                <w:kern w:val="0"/>
                <w:sz w:val="18"/>
                <w:szCs w:val="22"/>
                <w:lang w:eastAsia="en-US" w:bidi="ar-SA"/>
              </w:rPr>
              <w:t>von</w:t>
            </w:r>
          </w:p>
          <w:p>
            <w:pPr>
              <w:pStyle w:val="TableParagraph"/>
              <w:widowControl w:val="false"/>
              <w:suppressAutoHyphens w:val="true"/>
              <w:spacing w:lineRule="auto" w:line="240" w:before="2" w:after="0"/>
              <w:ind w:left="100" w:right="90" w:hanging="0"/>
              <w:jc w:val="center"/>
              <w:rPr>
                <w:b/>
                <w:b/>
                <w:sz w:val="18"/>
              </w:rPr>
            </w:pPr>
            <w:r>
              <w:rPr>
                <w:b/>
                <w:kern w:val="0"/>
                <w:sz w:val="18"/>
                <w:szCs w:val="22"/>
                <w:lang w:eastAsia="en-US" w:bidi="ar-SA"/>
              </w:rPr>
              <w:t>1</w:t>
            </w:r>
            <w:r>
              <w:rPr>
                <w:b/>
                <w:spacing w:val="-1"/>
                <w:kern w:val="0"/>
                <w:sz w:val="18"/>
                <w:szCs w:val="22"/>
                <w:lang w:eastAsia="en-US" w:bidi="ar-SA"/>
              </w:rPr>
              <w:t xml:space="preserve"> </w:t>
            </w:r>
            <w:r>
              <w:rPr>
                <w:b/>
                <w:kern w:val="0"/>
                <w:sz w:val="18"/>
                <w:szCs w:val="22"/>
                <w:lang w:eastAsia="en-US" w:bidi="ar-SA"/>
              </w:rPr>
              <w:t>Person</w:t>
            </w:r>
          </w:p>
        </w:tc>
        <w:tc>
          <w:tcPr>
            <w:tcW w:w="1021"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left="453" w:hanging="0"/>
              <w:jc w:val="left"/>
              <w:rPr>
                <w:b/>
                <w:b/>
                <w:sz w:val="20"/>
              </w:rPr>
            </w:pPr>
            <w:r>
              <w:rPr>
                <w:b/>
                <w:w w:val="99"/>
                <w:kern w:val="0"/>
                <w:sz w:val="20"/>
                <w:szCs w:val="22"/>
                <w:lang w:eastAsia="en-US" w:bidi="ar-SA"/>
              </w:rPr>
              <w:t>1</w:t>
            </w:r>
          </w:p>
        </w:tc>
        <w:tc>
          <w:tcPr>
            <w:tcW w:w="1020"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left="452" w:hanging="0"/>
              <w:jc w:val="left"/>
              <w:rPr>
                <w:b/>
                <w:b/>
                <w:sz w:val="20"/>
              </w:rPr>
            </w:pPr>
            <w:r>
              <w:rPr>
                <w:b/>
                <w:w w:val="99"/>
                <w:kern w:val="0"/>
                <w:sz w:val="20"/>
                <w:szCs w:val="22"/>
                <w:lang w:eastAsia="en-US" w:bidi="ar-SA"/>
              </w:rPr>
              <w:t>2</w:t>
            </w:r>
          </w:p>
        </w:tc>
        <w:tc>
          <w:tcPr>
            <w:tcW w:w="1021"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left="5" w:hanging="0"/>
              <w:jc w:val="center"/>
              <w:rPr>
                <w:b/>
                <w:b/>
                <w:sz w:val="20"/>
              </w:rPr>
            </w:pPr>
            <w:r>
              <w:rPr>
                <w:b/>
                <w:w w:val="99"/>
                <w:kern w:val="0"/>
                <w:sz w:val="20"/>
                <w:szCs w:val="22"/>
                <w:lang w:eastAsia="en-US" w:bidi="ar-SA"/>
              </w:rPr>
              <w:t>3</w:t>
            </w:r>
          </w:p>
        </w:tc>
        <w:tc>
          <w:tcPr>
            <w:tcW w:w="1021"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left="6" w:hanging="0"/>
              <w:jc w:val="center"/>
              <w:rPr>
                <w:b/>
                <w:b/>
                <w:sz w:val="20"/>
              </w:rPr>
            </w:pPr>
            <w:r>
              <w:rPr>
                <w:b/>
                <w:w w:val="99"/>
                <w:kern w:val="0"/>
                <w:sz w:val="20"/>
                <w:szCs w:val="22"/>
                <w:lang w:eastAsia="en-US" w:bidi="ar-SA"/>
              </w:rPr>
              <w:t>4</w:t>
            </w:r>
          </w:p>
        </w:tc>
        <w:tc>
          <w:tcPr>
            <w:tcW w:w="1020"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left="157" w:hanging="0"/>
              <w:jc w:val="left"/>
              <w:rPr>
                <w:b/>
                <w:b/>
                <w:sz w:val="20"/>
              </w:rPr>
            </w:pPr>
            <w:r>
              <w:rPr>
                <w:b/>
                <w:kern w:val="0"/>
                <w:sz w:val="20"/>
                <w:szCs w:val="22"/>
                <w:lang w:eastAsia="en-US" w:bidi="ar-SA"/>
              </w:rPr>
              <w:t xml:space="preserve">5 </w:t>
            </w:r>
            <w:r>
              <w:rPr>
                <w:b/>
                <w:kern w:val="0"/>
                <w:sz w:val="20"/>
                <w:szCs w:val="22"/>
                <w:lang w:eastAsia="en-US" w:bidi="ar-SA"/>
              </w:rPr>
              <w:t>and</w:t>
            </w:r>
            <w:r>
              <w:rPr>
                <w:b/>
                <w:kern w:val="0"/>
                <w:sz w:val="20"/>
                <w:szCs w:val="22"/>
                <w:lang w:eastAsia="en-US" w:bidi="ar-SA"/>
              </w:rPr>
              <w:t xml:space="preserve"> 6</w:t>
            </w:r>
          </w:p>
        </w:tc>
        <w:tc>
          <w:tcPr>
            <w:tcW w:w="1022"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right="151" w:hanging="0"/>
              <w:rPr>
                <w:b/>
                <w:b/>
                <w:sz w:val="20"/>
              </w:rPr>
            </w:pPr>
            <w:r>
              <w:rPr>
                <w:b/>
                <w:kern w:val="0"/>
                <w:sz w:val="20"/>
                <w:szCs w:val="22"/>
                <w:lang w:eastAsia="en-US" w:bidi="ar-SA"/>
              </w:rPr>
              <w:t xml:space="preserve">7 </w:t>
            </w:r>
            <w:r>
              <w:rPr>
                <w:b/>
                <w:kern w:val="0"/>
                <w:sz w:val="20"/>
                <w:szCs w:val="22"/>
                <w:lang w:eastAsia="en-US" w:bidi="ar-SA"/>
              </w:rPr>
              <w:t>and</w:t>
            </w:r>
            <w:r>
              <w:rPr>
                <w:b/>
                <w:kern w:val="0"/>
                <w:sz w:val="20"/>
                <w:szCs w:val="22"/>
                <w:lang w:eastAsia="en-US" w:bidi="ar-SA"/>
              </w:rPr>
              <w:t xml:space="preserve"> 8</w:t>
            </w:r>
          </w:p>
        </w:tc>
        <w:tc>
          <w:tcPr>
            <w:tcW w:w="1020"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left="97" w:right="93" w:hanging="0"/>
              <w:jc w:val="center"/>
              <w:rPr>
                <w:b/>
                <w:b/>
                <w:sz w:val="20"/>
              </w:rPr>
            </w:pPr>
            <w:r>
              <w:rPr>
                <w:b/>
                <w:kern w:val="0"/>
                <w:sz w:val="20"/>
                <w:szCs w:val="22"/>
                <w:lang w:eastAsia="en-US" w:bidi="ar-SA"/>
              </w:rPr>
              <w:t xml:space="preserve">9 </w:t>
            </w:r>
            <w:r>
              <w:rPr>
                <w:b/>
                <w:kern w:val="0"/>
                <w:sz w:val="20"/>
                <w:szCs w:val="22"/>
                <w:lang w:eastAsia="en-US" w:bidi="ar-SA"/>
              </w:rPr>
              <w:t>and</w:t>
            </w:r>
          </w:p>
          <w:p>
            <w:pPr>
              <w:pStyle w:val="TableParagraph"/>
              <w:widowControl w:val="false"/>
              <w:suppressAutoHyphens w:val="true"/>
              <w:spacing w:lineRule="auto" w:line="240" w:before="0" w:after="0"/>
              <w:ind w:left="98" w:right="93" w:hanging="0"/>
              <w:jc w:val="center"/>
              <w:rPr>
                <w:b/>
                <w:b/>
                <w:sz w:val="20"/>
              </w:rPr>
            </w:pPr>
            <w:r>
              <w:rPr>
                <w:b/>
                <w:kern w:val="0"/>
                <w:sz w:val="20"/>
                <w:szCs w:val="22"/>
                <w:lang w:eastAsia="en-US" w:bidi="ar-SA"/>
              </w:rPr>
              <w:t>10</w:t>
            </w:r>
          </w:p>
        </w:tc>
        <w:tc>
          <w:tcPr>
            <w:tcW w:w="1018"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auto" w:line="240" w:before="0" w:after="0"/>
              <w:ind w:left="262" w:right="160" w:hanging="77"/>
              <w:jc w:val="left"/>
              <w:rPr>
                <w:b/>
                <w:b/>
                <w:sz w:val="20"/>
              </w:rPr>
            </w:pPr>
            <w:r>
              <w:rPr>
                <w:b/>
                <w:kern w:val="0"/>
                <w:sz w:val="20"/>
                <w:szCs w:val="22"/>
                <w:lang w:eastAsia="en-US" w:bidi="ar-SA"/>
              </w:rPr>
              <w:t xml:space="preserve">11 </w:t>
            </w:r>
            <w:r>
              <w:rPr>
                <w:b/>
                <w:kern w:val="0"/>
                <w:sz w:val="20"/>
                <w:szCs w:val="22"/>
                <w:lang w:eastAsia="en-US" w:bidi="ar-SA"/>
              </w:rPr>
              <w:t>and more</w:t>
            </w:r>
          </w:p>
        </w:tc>
      </w:tr>
      <w:tr>
        <w:trPr>
          <w:trHeight w:val="292" w:hRule="atLeast"/>
        </w:trPr>
        <w:tc>
          <w:tcPr>
            <w:tcW w:w="1818"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left="107" w:hanging="0"/>
              <w:jc w:val="left"/>
              <w:rPr>
                <w:b/>
                <w:b/>
                <w:sz w:val="20"/>
              </w:rPr>
            </w:pPr>
            <w:r>
              <w:rPr>
                <w:b/>
                <w:kern w:val="0"/>
                <w:sz w:val="20"/>
                <w:szCs w:val="22"/>
                <w:lang w:eastAsia="en-US" w:bidi="ar-SA"/>
              </w:rPr>
              <w:t>Innsbruck</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536</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60" w:hanging="0"/>
              <w:jc w:val="left"/>
              <w:rPr>
                <w:sz w:val="18"/>
              </w:rPr>
            </w:pPr>
            <w:r>
              <w:rPr>
                <w:kern w:val="0"/>
                <w:sz w:val="18"/>
                <w:szCs w:val="22"/>
                <w:lang w:eastAsia="en-US" w:bidi="ar-SA"/>
              </w:rPr>
              <w:t xml:space="preserve">€ </w:t>
            </w:r>
            <w:r>
              <w:rPr>
                <w:kern w:val="0"/>
                <w:sz w:val="18"/>
                <w:szCs w:val="22"/>
                <w:lang w:eastAsia="en-US" w:bidi="ar-SA"/>
              </w:rPr>
              <w:t>639</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59" w:hanging="0"/>
              <w:jc w:val="left"/>
              <w:rPr>
                <w:sz w:val="18"/>
              </w:rPr>
            </w:pPr>
            <w:r>
              <w:rPr>
                <w:kern w:val="0"/>
                <w:sz w:val="18"/>
                <w:szCs w:val="22"/>
                <w:lang w:eastAsia="en-US" w:bidi="ar-SA"/>
              </w:rPr>
              <w:t xml:space="preserve">€ </w:t>
            </w:r>
            <w:r>
              <w:rPr>
                <w:kern w:val="0"/>
                <w:sz w:val="18"/>
                <w:szCs w:val="22"/>
                <w:lang w:eastAsia="en-US" w:bidi="ar-SA"/>
              </w:rPr>
              <w:t>855</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5" w:hanging="0"/>
              <w:rPr>
                <w:sz w:val="18"/>
              </w:rPr>
            </w:pPr>
            <w:r>
              <w:rPr>
                <w:kern w:val="0"/>
                <w:sz w:val="18"/>
                <w:szCs w:val="22"/>
                <w:lang w:eastAsia="en-US" w:bidi="ar-SA"/>
              </w:rPr>
              <w:t xml:space="preserve">€ </w:t>
            </w:r>
            <w:r>
              <w:rPr>
                <w:kern w:val="0"/>
                <w:sz w:val="18"/>
                <w:szCs w:val="22"/>
                <w:lang w:eastAsia="en-US" w:bidi="ar-SA"/>
              </w:rPr>
              <w:t>1.022</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5" w:hanging="0"/>
              <w:rPr>
                <w:sz w:val="18"/>
              </w:rPr>
            </w:pPr>
            <w:r>
              <w:rPr>
                <w:kern w:val="0"/>
                <w:sz w:val="18"/>
                <w:szCs w:val="22"/>
                <w:lang w:eastAsia="en-US" w:bidi="ar-SA"/>
              </w:rPr>
              <w:t xml:space="preserve">€ </w:t>
            </w:r>
            <w:r>
              <w:rPr>
                <w:kern w:val="0"/>
                <w:sz w:val="18"/>
                <w:szCs w:val="22"/>
                <w:lang w:eastAsia="en-US" w:bidi="ar-SA"/>
              </w:rPr>
              <w:t>1.177</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5" w:hanging="0"/>
              <w:rPr>
                <w:sz w:val="18"/>
              </w:rPr>
            </w:pPr>
            <w:r>
              <w:rPr>
                <w:kern w:val="0"/>
                <w:sz w:val="18"/>
                <w:szCs w:val="22"/>
                <w:lang w:eastAsia="en-US" w:bidi="ar-SA"/>
              </w:rPr>
              <w:t xml:space="preserve">€ </w:t>
            </w:r>
            <w:r>
              <w:rPr>
                <w:kern w:val="0"/>
                <w:sz w:val="18"/>
                <w:szCs w:val="22"/>
                <w:lang w:eastAsia="en-US" w:bidi="ar-SA"/>
              </w:rPr>
              <w:t>1.400</w:t>
            </w:r>
          </w:p>
        </w:tc>
        <w:tc>
          <w:tcPr>
            <w:tcW w:w="10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5" w:hanging="0"/>
              <w:rPr>
                <w:sz w:val="18"/>
              </w:rPr>
            </w:pPr>
            <w:r>
              <w:rPr>
                <w:kern w:val="0"/>
                <w:sz w:val="18"/>
                <w:szCs w:val="22"/>
                <w:lang w:eastAsia="en-US" w:bidi="ar-SA"/>
              </w:rPr>
              <w:t xml:space="preserve">€ </w:t>
            </w:r>
            <w:r>
              <w:rPr>
                <w:kern w:val="0"/>
                <w:sz w:val="18"/>
                <w:szCs w:val="22"/>
                <w:lang w:eastAsia="en-US" w:bidi="ar-SA"/>
              </w:rPr>
              <w:t>1.563</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5" w:hanging="0"/>
              <w:rPr>
                <w:sz w:val="18"/>
              </w:rPr>
            </w:pPr>
            <w:r>
              <w:rPr>
                <w:kern w:val="0"/>
                <w:sz w:val="18"/>
                <w:szCs w:val="22"/>
                <w:lang w:eastAsia="en-US" w:bidi="ar-SA"/>
              </w:rPr>
              <w:t xml:space="preserve">€ </w:t>
            </w:r>
            <w:r>
              <w:rPr>
                <w:kern w:val="0"/>
                <w:sz w:val="18"/>
                <w:szCs w:val="22"/>
                <w:lang w:eastAsia="en-US" w:bidi="ar-SA"/>
              </w:rPr>
              <w:t>1.709</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5" w:hanging="0"/>
              <w:rPr>
                <w:sz w:val="18"/>
              </w:rPr>
            </w:pPr>
            <w:r>
              <w:rPr>
                <w:kern w:val="0"/>
                <w:sz w:val="18"/>
                <w:szCs w:val="22"/>
                <w:lang w:eastAsia="en-US" w:bidi="ar-SA"/>
              </w:rPr>
              <w:t xml:space="preserve">€ </w:t>
            </w:r>
            <w:r>
              <w:rPr>
                <w:kern w:val="0"/>
                <w:sz w:val="18"/>
                <w:szCs w:val="22"/>
                <w:lang w:eastAsia="en-US" w:bidi="ar-SA"/>
              </w:rPr>
              <w:t>1.855</w:t>
            </w:r>
          </w:p>
        </w:tc>
      </w:tr>
      <w:tr>
        <w:trPr>
          <w:trHeight w:val="318" w:hRule="atLeast"/>
        </w:trPr>
        <w:tc>
          <w:tcPr>
            <w:tcW w:w="1818"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7" w:before="0" w:after="0"/>
              <w:ind w:left="107" w:hanging="0"/>
              <w:jc w:val="left"/>
              <w:rPr>
                <w:b/>
                <w:b/>
                <w:sz w:val="20"/>
              </w:rPr>
            </w:pPr>
            <w:r>
              <w:rPr>
                <w:b/>
                <w:kern w:val="0"/>
                <w:sz w:val="20"/>
                <w:szCs w:val="22"/>
                <w:lang w:eastAsia="en-US" w:bidi="ar-SA"/>
              </w:rPr>
              <w:t>Innsbruck Land</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4" w:hanging="0"/>
              <w:rPr>
                <w:sz w:val="18"/>
              </w:rPr>
            </w:pPr>
            <w:r>
              <w:rPr>
                <w:kern w:val="0"/>
                <w:sz w:val="18"/>
                <w:szCs w:val="22"/>
                <w:lang w:eastAsia="en-US" w:bidi="ar-SA"/>
              </w:rPr>
              <w:t xml:space="preserve">€ </w:t>
            </w:r>
            <w:r>
              <w:rPr>
                <w:kern w:val="0"/>
                <w:sz w:val="18"/>
                <w:szCs w:val="22"/>
                <w:lang w:eastAsia="en-US" w:bidi="ar-SA"/>
              </w:rPr>
              <w:t>503</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left="460" w:hanging="0"/>
              <w:jc w:val="left"/>
              <w:rPr>
                <w:sz w:val="18"/>
              </w:rPr>
            </w:pPr>
            <w:r>
              <w:rPr>
                <w:kern w:val="0"/>
                <w:sz w:val="18"/>
                <w:szCs w:val="22"/>
                <w:lang w:eastAsia="en-US" w:bidi="ar-SA"/>
              </w:rPr>
              <w:t xml:space="preserve">€ </w:t>
            </w:r>
            <w:r>
              <w:rPr>
                <w:kern w:val="0"/>
                <w:sz w:val="18"/>
                <w:szCs w:val="22"/>
                <w:lang w:eastAsia="en-US" w:bidi="ar-SA"/>
              </w:rPr>
              <w:t>639</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left="459" w:hanging="0"/>
              <w:jc w:val="left"/>
              <w:rPr>
                <w:sz w:val="18"/>
              </w:rPr>
            </w:pPr>
            <w:r>
              <w:rPr>
                <w:kern w:val="0"/>
                <w:sz w:val="18"/>
                <w:szCs w:val="22"/>
                <w:lang w:eastAsia="en-US" w:bidi="ar-SA"/>
              </w:rPr>
              <w:t xml:space="preserve">€ </w:t>
            </w:r>
            <w:r>
              <w:rPr>
                <w:kern w:val="0"/>
                <w:sz w:val="18"/>
                <w:szCs w:val="22"/>
                <w:lang w:eastAsia="en-US" w:bidi="ar-SA"/>
              </w:rPr>
              <w:t>808</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4" w:hanging="0"/>
              <w:rPr>
                <w:sz w:val="18"/>
              </w:rPr>
            </w:pPr>
            <w:r>
              <w:rPr>
                <w:kern w:val="0"/>
                <w:sz w:val="18"/>
                <w:szCs w:val="22"/>
                <w:lang w:eastAsia="en-US" w:bidi="ar-SA"/>
              </w:rPr>
              <w:t xml:space="preserve">€ </w:t>
            </w:r>
            <w:r>
              <w:rPr>
                <w:kern w:val="0"/>
                <w:sz w:val="18"/>
                <w:szCs w:val="22"/>
                <w:lang w:eastAsia="en-US" w:bidi="ar-SA"/>
              </w:rPr>
              <w:t>976</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5" w:hanging="0"/>
              <w:rPr>
                <w:sz w:val="18"/>
              </w:rPr>
            </w:pPr>
            <w:r>
              <w:rPr>
                <w:kern w:val="0"/>
                <w:sz w:val="18"/>
                <w:szCs w:val="22"/>
                <w:lang w:eastAsia="en-US" w:bidi="ar-SA"/>
              </w:rPr>
              <w:t xml:space="preserve">€ </w:t>
            </w:r>
            <w:r>
              <w:rPr>
                <w:kern w:val="0"/>
                <w:sz w:val="18"/>
                <w:szCs w:val="22"/>
                <w:lang w:eastAsia="en-US" w:bidi="ar-SA"/>
              </w:rPr>
              <w:t>1.101</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7" w:hanging="0"/>
              <w:rPr>
                <w:sz w:val="18"/>
              </w:rPr>
            </w:pPr>
            <w:r>
              <w:rPr>
                <w:kern w:val="0"/>
                <w:sz w:val="18"/>
                <w:szCs w:val="22"/>
                <w:lang w:eastAsia="en-US" w:bidi="ar-SA"/>
              </w:rPr>
              <w:t xml:space="preserve">€ </w:t>
            </w:r>
            <w:r>
              <w:rPr>
                <w:kern w:val="0"/>
                <w:sz w:val="18"/>
                <w:szCs w:val="22"/>
                <w:lang w:eastAsia="en-US" w:bidi="ar-SA"/>
              </w:rPr>
              <w:t>1.224</w:t>
            </w:r>
          </w:p>
        </w:tc>
        <w:tc>
          <w:tcPr>
            <w:tcW w:w="10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5" w:hanging="0"/>
              <w:rPr>
                <w:sz w:val="18"/>
              </w:rPr>
            </w:pPr>
            <w:r>
              <w:rPr>
                <w:kern w:val="0"/>
                <w:sz w:val="18"/>
                <w:szCs w:val="22"/>
                <w:lang w:eastAsia="en-US" w:bidi="ar-SA"/>
              </w:rPr>
              <w:t xml:space="preserve">€ </w:t>
            </w:r>
            <w:r>
              <w:rPr>
                <w:kern w:val="0"/>
                <w:sz w:val="18"/>
                <w:szCs w:val="22"/>
                <w:lang w:eastAsia="en-US" w:bidi="ar-SA"/>
              </w:rPr>
              <w:t>1.389</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5" w:hanging="0"/>
              <w:rPr>
                <w:sz w:val="18"/>
              </w:rPr>
            </w:pPr>
            <w:r>
              <w:rPr>
                <w:kern w:val="0"/>
                <w:sz w:val="18"/>
                <w:szCs w:val="22"/>
                <w:lang w:eastAsia="en-US" w:bidi="ar-SA"/>
              </w:rPr>
              <w:t xml:space="preserve">€ </w:t>
            </w:r>
            <w:r>
              <w:rPr>
                <w:kern w:val="0"/>
                <w:sz w:val="18"/>
                <w:szCs w:val="22"/>
                <w:lang w:eastAsia="en-US" w:bidi="ar-SA"/>
              </w:rPr>
              <w:t>1.503</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5" w:hanging="0"/>
              <w:rPr>
                <w:sz w:val="18"/>
              </w:rPr>
            </w:pPr>
            <w:r>
              <w:rPr>
                <w:kern w:val="0"/>
                <w:sz w:val="18"/>
                <w:szCs w:val="22"/>
                <w:lang w:eastAsia="en-US" w:bidi="ar-SA"/>
              </w:rPr>
              <w:t xml:space="preserve">€ </w:t>
            </w:r>
            <w:r>
              <w:rPr>
                <w:kern w:val="0"/>
                <w:sz w:val="18"/>
                <w:szCs w:val="22"/>
                <w:lang w:eastAsia="en-US" w:bidi="ar-SA"/>
              </w:rPr>
              <w:t>1.627</w:t>
            </w:r>
          </w:p>
        </w:tc>
      </w:tr>
      <w:tr>
        <w:trPr>
          <w:trHeight w:val="316" w:hRule="atLeast"/>
        </w:trPr>
        <w:tc>
          <w:tcPr>
            <w:tcW w:w="1818"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left="107" w:hanging="0"/>
              <w:jc w:val="left"/>
              <w:rPr>
                <w:b/>
                <w:b/>
                <w:sz w:val="20"/>
              </w:rPr>
            </w:pPr>
            <w:r>
              <w:rPr>
                <w:b/>
                <w:kern w:val="0"/>
                <w:sz w:val="20"/>
                <w:szCs w:val="22"/>
                <w:lang w:eastAsia="en-US" w:bidi="ar-SA"/>
              </w:rPr>
              <w:t>Schwaz</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492</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60" w:hanging="0"/>
              <w:jc w:val="left"/>
              <w:rPr>
                <w:sz w:val="18"/>
              </w:rPr>
            </w:pPr>
            <w:r>
              <w:rPr>
                <w:kern w:val="0"/>
                <w:sz w:val="18"/>
                <w:szCs w:val="22"/>
                <w:lang w:eastAsia="en-US" w:bidi="ar-SA"/>
              </w:rPr>
              <w:t xml:space="preserve">€ </w:t>
            </w:r>
            <w:r>
              <w:rPr>
                <w:kern w:val="0"/>
                <w:sz w:val="18"/>
                <w:szCs w:val="22"/>
                <w:lang w:eastAsia="en-US" w:bidi="ar-SA"/>
              </w:rPr>
              <w:t>607</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59" w:hanging="0"/>
              <w:jc w:val="left"/>
              <w:rPr>
                <w:sz w:val="18"/>
              </w:rPr>
            </w:pPr>
            <w:r>
              <w:rPr>
                <w:kern w:val="0"/>
                <w:sz w:val="18"/>
                <w:szCs w:val="22"/>
                <w:lang w:eastAsia="en-US" w:bidi="ar-SA"/>
              </w:rPr>
              <w:t xml:space="preserve">€ </w:t>
            </w:r>
            <w:r>
              <w:rPr>
                <w:kern w:val="0"/>
                <w:sz w:val="18"/>
                <w:szCs w:val="22"/>
                <w:lang w:eastAsia="en-US" w:bidi="ar-SA"/>
              </w:rPr>
              <w:t>787</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942</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5" w:hanging="0"/>
              <w:rPr>
                <w:sz w:val="18"/>
              </w:rPr>
            </w:pPr>
            <w:r>
              <w:rPr>
                <w:kern w:val="0"/>
                <w:sz w:val="18"/>
                <w:szCs w:val="22"/>
                <w:lang w:eastAsia="en-US" w:bidi="ar-SA"/>
              </w:rPr>
              <w:t xml:space="preserve">€ </w:t>
            </w:r>
            <w:r>
              <w:rPr>
                <w:kern w:val="0"/>
                <w:sz w:val="18"/>
                <w:szCs w:val="22"/>
                <w:lang w:eastAsia="en-US" w:bidi="ar-SA"/>
              </w:rPr>
              <w:t>1.038</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7" w:hanging="0"/>
              <w:rPr>
                <w:sz w:val="18"/>
              </w:rPr>
            </w:pPr>
            <w:r>
              <w:rPr>
                <w:kern w:val="0"/>
                <w:sz w:val="18"/>
                <w:szCs w:val="22"/>
                <w:lang w:eastAsia="en-US" w:bidi="ar-SA"/>
              </w:rPr>
              <w:t xml:space="preserve">€ </w:t>
            </w:r>
            <w:r>
              <w:rPr>
                <w:kern w:val="0"/>
                <w:sz w:val="18"/>
                <w:szCs w:val="22"/>
                <w:lang w:eastAsia="en-US" w:bidi="ar-SA"/>
              </w:rPr>
              <w:t>1.183</w:t>
            </w:r>
          </w:p>
        </w:tc>
        <w:tc>
          <w:tcPr>
            <w:tcW w:w="10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5" w:hanging="0"/>
              <w:rPr>
                <w:sz w:val="18"/>
              </w:rPr>
            </w:pPr>
            <w:r>
              <w:rPr>
                <w:kern w:val="0"/>
                <w:sz w:val="18"/>
                <w:szCs w:val="22"/>
                <w:lang w:eastAsia="en-US" w:bidi="ar-SA"/>
              </w:rPr>
              <w:t xml:space="preserve">€ </w:t>
            </w:r>
            <w:r>
              <w:rPr>
                <w:kern w:val="0"/>
                <w:sz w:val="18"/>
                <w:szCs w:val="22"/>
                <w:lang w:eastAsia="en-US" w:bidi="ar-SA"/>
              </w:rPr>
              <w:t>1.354</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5" w:hanging="0"/>
              <w:rPr>
                <w:sz w:val="18"/>
              </w:rPr>
            </w:pPr>
            <w:r>
              <w:rPr>
                <w:kern w:val="0"/>
                <w:sz w:val="18"/>
                <w:szCs w:val="22"/>
                <w:lang w:eastAsia="en-US" w:bidi="ar-SA"/>
              </w:rPr>
              <w:t xml:space="preserve">€ </w:t>
            </w:r>
            <w:r>
              <w:rPr>
                <w:kern w:val="0"/>
                <w:sz w:val="18"/>
                <w:szCs w:val="22"/>
                <w:lang w:eastAsia="en-US" w:bidi="ar-SA"/>
              </w:rPr>
              <w:t>1.464</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1.586</w:t>
            </w:r>
          </w:p>
        </w:tc>
      </w:tr>
      <w:tr>
        <w:trPr>
          <w:trHeight w:val="316" w:hRule="atLeast"/>
        </w:trPr>
        <w:tc>
          <w:tcPr>
            <w:tcW w:w="1818"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left="107" w:hanging="0"/>
              <w:jc w:val="left"/>
              <w:rPr>
                <w:b/>
                <w:b/>
                <w:sz w:val="20"/>
              </w:rPr>
            </w:pPr>
            <w:r>
              <w:rPr>
                <w:b/>
                <w:kern w:val="0"/>
                <w:sz w:val="20"/>
                <w:szCs w:val="22"/>
                <w:lang w:eastAsia="en-US" w:bidi="ar-SA"/>
              </w:rPr>
              <w:t>Kufstein</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463</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60" w:hanging="0"/>
              <w:jc w:val="left"/>
              <w:rPr>
                <w:sz w:val="18"/>
              </w:rPr>
            </w:pPr>
            <w:r>
              <w:rPr>
                <w:kern w:val="0"/>
                <w:sz w:val="18"/>
                <w:szCs w:val="22"/>
                <w:lang w:eastAsia="en-US" w:bidi="ar-SA"/>
              </w:rPr>
              <w:t xml:space="preserve">€ </w:t>
            </w:r>
            <w:r>
              <w:rPr>
                <w:kern w:val="0"/>
                <w:sz w:val="18"/>
                <w:szCs w:val="22"/>
                <w:lang w:eastAsia="en-US" w:bidi="ar-SA"/>
              </w:rPr>
              <w:t>606</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59" w:hanging="0"/>
              <w:jc w:val="left"/>
              <w:rPr>
                <w:sz w:val="18"/>
              </w:rPr>
            </w:pPr>
            <w:r>
              <w:rPr>
                <w:kern w:val="0"/>
                <w:sz w:val="18"/>
                <w:szCs w:val="22"/>
                <w:lang w:eastAsia="en-US" w:bidi="ar-SA"/>
              </w:rPr>
              <w:t xml:space="preserve">€ </w:t>
            </w:r>
            <w:r>
              <w:rPr>
                <w:kern w:val="0"/>
                <w:sz w:val="18"/>
                <w:szCs w:val="22"/>
                <w:lang w:eastAsia="en-US" w:bidi="ar-SA"/>
              </w:rPr>
              <w:t>763</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905</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5" w:hanging="0"/>
              <w:rPr>
                <w:sz w:val="18"/>
              </w:rPr>
            </w:pPr>
            <w:r>
              <w:rPr>
                <w:kern w:val="0"/>
                <w:sz w:val="18"/>
                <w:szCs w:val="22"/>
                <w:lang w:eastAsia="en-US" w:bidi="ar-SA"/>
              </w:rPr>
              <w:t xml:space="preserve">€ </w:t>
            </w:r>
            <w:r>
              <w:rPr>
                <w:kern w:val="0"/>
                <w:sz w:val="18"/>
                <w:szCs w:val="22"/>
                <w:lang w:eastAsia="en-US" w:bidi="ar-SA"/>
              </w:rPr>
              <w:t>1.024</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7" w:hanging="0"/>
              <w:rPr>
                <w:sz w:val="18"/>
              </w:rPr>
            </w:pPr>
            <w:r>
              <w:rPr>
                <w:kern w:val="0"/>
                <w:sz w:val="18"/>
                <w:szCs w:val="22"/>
                <w:lang w:eastAsia="en-US" w:bidi="ar-SA"/>
              </w:rPr>
              <w:t xml:space="preserve">€ </w:t>
            </w:r>
            <w:r>
              <w:rPr>
                <w:kern w:val="0"/>
                <w:sz w:val="18"/>
                <w:szCs w:val="22"/>
                <w:lang w:eastAsia="en-US" w:bidi="ar-SA"/>
              </w:rPr>
              <w:t>1.151</w:t>
            </w:r>
          </w:p>
        </w:tc>
        <w:tc>
          <w:tcPr>
            <w:tcW w:w="10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8" w:hanging="0"/>
              <w:rPr>
                <w:sz w:val="18"/>
              </w:rPr>
            </w:pPr>
            <w:r>
              <w:rPr>
                <w:kern w:val="0"/>
                <w:sz w:val="18"/>
                <w:szCs w:val="22"/>
                <w:lang w:eastAsia="en-US" w:bidi="ar-SA"/>
              </w:rPr>
              <w:t xml:space="preserve">€ </w:t>
            </w:r>
            <w:r>
              <w:rPr>
                <w:kern w:val="0"/>
                <w:sz w:val="18"/>
                <w:szCs w:val="22"/>
                <w:lang w:eastAsia="en-US" w:bidi="ar-SA"/>
              </w:rPr>
              <w:t>1.298</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5" w:hanging="0"/>
              <w:rPr>
                <w:sz w:val="18"/>
              </w:rPr>
            </w:pPr>
            <w:r>
              <w:rPr>
                <w:kern w:val="0"/>
                <w:sz w:val="18"/>
                <w:szCs w:val="22"/>
                <w:lang w:eastAsia="en-US" w:bidi="ar-SA"/>
              </w:rPr>
              <w:t xml:space="preserve">€ </w:t>
            </w:r>
            <w:r>
              <w:rPr>
                <w:kern w:val="0"/>
                <w:sz w:val="18"/>
                <w:szCs w:val="22"/>
                <w:lang w:eastAsia="en-US" w:bidi="ar-SA"/>
              </w:rPr>
              <w:t>1.404</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5" w:hanging="0"/>
              <w:rPr>
                <w:sz w:val="18"/>
              </w:rPr>
            </w:pPr>
            <w:r>
              <w:rPr>
                <w:kern w:val="0"/>
                <w:sz w:val="18"/>
                <w:szCs w:val="22"/>
                <w:lang w:eastAsia="en-US" w:bidi="ar-SA"/>
              </w:rPr>
              <w:t xml:space="preserve">€ </w:t>
            </w:r>
            <w:r>
              <w:rPr>
                <w:kern w:val="0"/>
                <w:sz w:val="18"/>
                <w:szCs w:val="22"/>
                <w:lang w:eastAsia="en-US" w:bidi="ar-SA"/>
              </w:rPr>
              <w:t>1.520</w:t>
            </w:r>
          </w:p>
        </w:tc>
      </w:tr>
      <w:tr>
        <w:trPr>
          <w:trHeight w:val="317" w:hRule="atLeast"/>
        </w:trPr>
        <w:tc>
          <w:tcPr>
            <w:tcW w:w="1818"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left="107" w:hanging="0"/>
              <w:jc w:val="left"/>
              <w:rPr>
                <w:b/>
                <w:b/>
                <w:sz w:val="20"/>
              </w:rPr>
            </w:pPr>
            <w:r>
              <w:rPr>
                <w:b/>
                <w:kern w:val="0"/>
                <w:sz w:val="20"/>
                <w:szCs w:val="22"/>
                <w:lang w:eastAsia="en-US" w:bidi="ar-SA"/>
              </w:rPr>
              <w:t>Kitzbühel</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07" w:before="0" w:after="0"/>
              <w:ind w:right="94" w:hanging="0"/>
              <w:rPr>
                <w:sz w:val="18"/>
              </w:rPr>
            </w:pPr>
            <w:r>
              <w:rPr>
                <w:kern w:val="0"/>
                <w:sz w:val="18"/>
                <w:szCs w:val="22"/>
                <w:lang w:eastAsia="en-US" w:bidi="ar-SA"/>
              </w:rPr>
              <w:t xml:space="preserve">€ </w:t>
            </w:r>
            <w:r>
              <w:rPr>
                <w:kern w:val="0"/>
                <w:sz w:val="18"/>
                <w:szCs w:val="22"/>
                <w:lang w:eastAsia="en-US" w:bidi="ar-SA"/>
              </w:rPr>
              <w:t>496</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07" w:before="0" w:after="0"/>
              <w:ind w:left="460" w:hanging="0"/>
              <w:jc w:val="left"/>
              <w:rPr>
                <w:sz w:val="18"/>
              </w:rPr>
            </w:pPr>
            <w:r>
              <w:rPr>
                <w:kern w:val="0"/>
                <w:sz w:val="18"/>
                <w:szCs w:val="22"/>
                <w:lang w:eastAsia="en-US" w:bidi="ar-SA"/>
              </w:rPr>
              <w:t xml:space="preserve">€ </w:t>
            </w:r>
            <w:r>
              <w:rPr>
                <w:kern w:val="0"/>
                <w:sz w:val="18"/>
                <w:szCs w:val="22"/>
                <w:lang w:eastAsia="en-US" w:bidi="ar-SA"/>
              </w:rPr>
              <w:t>629</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07" w:before="0" w:after="0"/>
              <w:ind w:left="459" w:hanging="0"/>
              <w:jc w:val="left"/>
              <w:rPr>
                <w:sz w:val="18"/>
              </w:rPr>
            </w:pPr>
            <w:r>
              <w:rPr>
                <w:kern w:val="0"/>
                <w:sz w:val="18"/>
                <w:szCs w:val="22"/>
                <w:lang w:eastAsia="en-US" w:bidi="ar-SA"/>
              </w:rPr>
              <w:t xml:space="preserve">€ </w:t>
            </w:r>
            <w:r>
              <w:rPr>
                <w:kern w:val="0"/>
                <w:sz w:val="18"/>
                <w:szCs w:val="22"/>
                <w:lang w:eastAsia="en-US" w:bidi="ar-SA"/>
              </w:rPr>
              <w:t>779</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07" w:before="0" w:after="0"/>
              <w:ind w:right="94" w:hanging="0"/>
              <w:rPr>
                <w:sz w:val="18"/>
              </w:rPr>
            </w:pPr>
            <w:r>
              <w:rPr>
                <w:kern w:val="0"/>
                <w:sz w:val="18"/>
                <w:szCs w:val="22"/>
                <w:lang w:eastAsia="en-US" w:bidi="ar-SA"/>
              </w:rPr>
              <w:t xml:space="preserve">€ </w:t>
            </w:r>
            <w:r>
              <w:rPr>
                <w:kern w:val="0"/>
                <w:sz w:val="18"/>
                <w:szCs w:val="22"/>
                <w:lang w:eastAsia="en-US" w:bidi="ar-SA"/>
              </w:rPr>
              <w:t>924</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07" w:before="0" w:after="0"/>
              <w:ind w:right="95" w:hanging="0"/>
              <w:rPr>
                <w:sz w:val="18"/>
              </w:rPr>
            </w:pPr>
            <w:r>
              <w:rPr>
                <w:kern w:val="0"/>
                <w:sz w:val="18"/>
                <w:szCs w:val="22"/>
                <w:lang w:eastAsia="en-US" w:bidi="ar-SA"/>
              </w:rPr>
              <w:t xml:space="preserve">€ </w:t>
            </w:r>
            <w:r>
              <w:rPr>
                <w:kern w:val="0"/>
                <w:sz w:val="18"/>
                <w:szCs w:val="22"/>
                <w:lang w:eastAsia="en-US" w:bidi="ar-SA"/>
              </w:rPr>
              <w:t>1.052</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07" w:before="0" w:after="0"/>
              <w:ind w:right="95" w:hanging="0"/>
              <w:rPr>
                <w:sz w:val="18"/>
              </w:rPr>
            </w:pPr>
            <w:r>
              <w:rPr>
                <w:kern w:val="0"/>
                <w:sz w:val="18"/>
                <w:szCs w:val="22"/>
                <w:lang w:eastAsia="en-US" w:bidi="ar-SA"/>
              </w:rPr>
              <w:t xml:space="preserve">€ </w:t>
            </w:r>
            <w:r>
              <w:rPr>
                <w:kern w:val="0"/>
                <w:sz w:val="18"/>
                <w:szCs w:val="22"/>
                <w:lang w:eastAsia="en-US" w:bidi="ar-SA"/>
              </w:rPr>
              <w:t>1.257</w:t>
            </w:r>
          </w:p>
        </w:tc>
        <w:tc>
          <w:tcPr>
            <w:tcW w:w="10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07" w:before="0" w:after="0"/>
              <w:ind w:right="95" w:hanging="0"/>
              <w:rPr>
                <w:sz w:val="18"/>
              </w:rPr>
            </w:pPr>
            <w:r>
              <w:rPr>
                <w:kern w:val="0"/>
                <w:sz w:val="18"/>
                <w:szCs w:val="22"/>
                <w:lang w:eastAsia="en-US" w:bidi="ar-SA"/>
              </w:rPr>
              <w:t xml:space="preserve">€ </w:t>
            </w:r>
            <w:r>
              <w:rPr>
                <w:kern w:val="0"/>
                <w:sz w:val="18"/>
                <w:szCs w:val="22"/>
                <w:lang w:eastAsia="en-US" w:bidi="ar-SA"/>
              </w:rPr>
              <w:t>1.462</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07" w:before="0" w:after="0"/>
              <w:ind w:right="95" w:hanging="0"/>
              <w:rPr>
                <w:sz w:val="18"/>
              </w:rPr>
            </w:pPr>
            <w:r>
              <w:rPr>
                <w:kern w:val="0"/>
                <w:sz w:val="18"/>
                <w:szCs w:val="22"/>
                <w:lang w:eastAsia="en-US" w:bidi="ar-SA"/>
              </w:rPr>
              <w:t xml:space="preserve">€ </w:t>
            </w:r>
            <w:r>
              <w:rPr>
                <w:kern w:val="0"/>
                <w:sz w:val="18"/>
                <w:szCs w:val="22"/>
                <w:lang w:eastAsia="en-US" w:bidi="ar-SA"/>
              </w:rPr>
              <w:t>1.598</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07" w:before="0" w:after="0"/>
              <w:ind w:right="95" w:hanging="0"/>
              <w:rPr>
                <w:sz w:val="18"/>
              </w:rPr>
            </w:pPr>
            <w:r>
              <w:rPr>
                <w:kern w:val="0"/>
                <w:sz w:val="18"/>
                <w:szCs w:val="22"/>
                <w:lang w:eastAsia="en-US" w:bidi="ar-SA"/>
              </w:rPr>
              <w:t xml:space="preserve">€ </w:t>
            </w:r>
            <w:r>
              <w:rPr>
                <w:kern w:val="0"/>
                <w:sz w:val="18"/>
                <w:szCs w:val="22"/>
                <w:lang w:eastAsia="en-US" w:bidi="ar-SA"/>
              </w:rPr>
              <w:t>1.733</w:t>
            </w:r>
          </w:p>
        </w:tc>
      </w:tr>
      <w:tr>
        <w:trPr>
          <w:trHeight w:val="294" w:hRule="atLeast"/>
        </w:trPr>
        <w:tc>
          <w:tcPr>
            <w:tcW w:w="1818"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7" w:before="0" w:after="0"/>
              <w:ind w:left="107" w:hanging="0"/>
              <w:jc w:val="left"/>
              <w:rPr>
                <w:b/>
                <w:b/>
                <w:sz w:val="20"/>
              </w:rPr>
            </w:pPr>
            <w:r>
              <w:rPr>
                <w:b/>
                <w:kern w:val="0"/>
                <w:sz w:val="20"/>
                <w:szCs w:val="22"/>
                <w:lang w:eastAsia="en-US" w:bidi="ar-SA"/>
              </w:rPr>
              <w:t>Imst</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4" w:hanging="0"/>
              <w:rPr>
                <w:sz w:val="18"/>
              </w:rPr>
            </w:pPr>
            <w:r>
              <w:rPr>
                <w:kern w:val="0"/>
                <w:sz w:val="18"/>
                <w:szCs w:val="22"/>
                <w:lang w:eastAsia="en-US" w:bidi="ar-SA"/>
              </w:rPr>
              <w:t xml:space="preserve">€ </w:t>
            </w:r>
            <w:r>
              <w:rPr>
                <w:kern w:val="0"/>
                <w:sz w:val="18"/>
                <w:szCs w:val="22"/>
                <w:lang w:eastAsia="en-US" w:bidi="ar-SA"/>
              </w:rPr>
              <w:t>401</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left="460" w:hanging="0"/>
              <w:jc w:val="left"/>
              <w:rPr>
                <w:sz w:val="18"/>
              </w:rPr>
            </w:pPr>
            <w:r>
              <w:rPr>
                <w:kern w:val="0"/>
                <w:sz w:val="18"/>
                <w:szCs w:val="22"/>
                <w:lang w:eastAsia="en-US" w:bidi="ar-SA"/>
              </w:rPr>
              <w:t xml:space="preserve">€ </w:t>
            </w:r>
            <w:r>
              <w:rPr>
                <w:kern w:val="0"/>
                <w:sz w:val="18"/>
                <w:szCs w:val="22"/>
                <w:lang w:eastAsia="en-US" w:bidi="ar-SA"/>
              </w:rPr>
              <w:t>528</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left="459" w:hanging="0"/>
              <w:jc w:val="left"/>
              <w:rPr>
                <w:sz w:val="18"/>
              </w:rPr>
            </w:pPr>
            <w:r>
              <w:rPr>
                <w:kern w:val="0"/>
                <w:sz w:val="18"/>
                <w:szCs w:val="22"/>
                <w:lang w:eastAsia="en-US" w:bidi="ar-SA"/>
              </w:rPr>
              <w:t xml:space="preserve">€ </w:t>
            </w:r>
            <w:r>
              <w:rPr>
                <w:kern w:val="0"/>
                <w:sz w:val="18"/>
                <w:szCs w:val="22"/>
                <w:lang w:eastAsia="en-US" w:bidi="ar-SA"/>
              </w:rPr>
              <w:t>660</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4" w:hanging="0"/>
              <w:rPr>
                <w:sz w:val="18"/>
              </w:rPr>
            </w:pPr>
            <w:r>
              <w:rPr>
                <w:kern w:val="0"/>
                <w:sz w:val="18"/>
                <w:szCs w:val="22"/>
                <w:lang w:eastAsia="en-US" w:bidi="ar-SA"/>
              </w:rPr>
              <w:t xml:space="preserve">€ </w:t>
            </w:r>
            <w:r>
              <w:rPr>
                <w:kern w:val="0"/>
                <w:sz w:val="18"/>
                <w:szCs w:val="22"/>
                <w:lang w:eastAsia="en-US" w:bidi="ar-SA"/>
              </w:rPr>
              <w:t>760</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4" w:hanging="0"/>
              <w:rPr>
                <w:sz w:val="18"/>
              </w:rPr>
            </w:pPr>
            <w:r>
              <w:rPr>
                <w:kern w:val="0"/>
                <w:sz w:val="18"/>
                <w:szCs w:val="22"/>
                <w:lang w:eastAsia="en-US" w:bidi="ar-SA"/>
              </w:rPr>
              <w:t xml:space="preserve">€ </w:t>
            </w:r>
            <w:r>
              <w:rPr>
                <w:kern w:val="0"/>
                <w:sz w:val="18"/>
                <w:szCs w:val="22"/>
                <w:lang w:eastAsia="en-US" w:bidi="ar-SA"/>
              </w:rPr>
              <w:t>884</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7" w:hanging="0"/>
              <w:rPr>
                <w:sz w:val="18"/>
              </w:rPr>
            </w:pPr>
            <w:r>
              <w:rPr>
                <w:kern w:val="0"/>
                <w:sz w:val="18"/>
                <w:szCs w:val="22"/>
                <w:lang w:eastAsia="en-US" w:bidi="ar-SA"/>
              </w:rPr>
              <w:t xml:space="preserve">€ </w:t>
            </w:r>
            <w:r>
              <w:rPr>
                <w:kern w:val="0"/>
                <w:sz w:val="18"/>
                <w:szCs w:val="22"/>
                <w:lang w:eastAsia="en-US" w:bidi="ar-SA"/>
              </w:rPr>
              <w:t>1.001</w:t>
            </w:r>
          </w:p>
        </w:tc>
        <w:tc>
          <w:tcPr>
            <w:tcW w:w="10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8" w:hanging="0"/>
              <w:rPr>
                <w:sz w:val="18"/>
              </w:rPr>
            </w:pPr>
            <w:r>
              <w:rPr>
                <w:kern w:val="0"/>
                <w:sz w:val="18"/>
                <w:szCs w:val="22"/>
                <w:lang w:eastAsia="en-US" w:bidi="ar-SA"/>
              </w:rPr>
              <w:t xml:space="preserve">€ </w:t>
            </w:r>
            <w:r>
              <w:rPr>
                <w:kern w:val="0"/>
                <w:sz w:val="18"/>
                <w:szCs w:val="22"/>
                <w:lang w:eastAsia="en-US" w:bidi="ar-SA"/>
              </w:rPr>
              <w:t>1.154</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8" w:hanging="0"/>
              <w:rPr>
                <w:sz w:val="18"/>
              </w:rPr>
            </w:pPr>
            <w:r>
              <w:rPr>
                <w:kern w:val="0"/>
                <w:sz w:val="18"/>
                <w:szCs w:val="22"/>
                <w:lang w:eastAsia="en-US" w:bidi="ar-SA"/>
              </w:rPr>
              <w:t xml:space="preserve">€ </w:t>
            </w:r>
            <w:r>
              <w:rPr>
                <w:kern w:val="0"/>
                <w:sz w:val="18"/>
                <w:szCs w:val="22"/>
                <w:lang w:eastAsia="en-US" w:bidi="ar-SA"/>
              </w:rPr>
              <w:t>1.244</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40" w:before="1" w:after="0"/>
              <w:ind w:right="95" w:hanging="0"/>
              <w:rPr>
                <w:sz w:val="18"/>
              </w:rPr>
            </w:pPr>
            <w:r>
              <w:rPr>
                <w:kern w:val="0"/>
                <w:sz w:val="18"/>
                <w:szCs w:val="22"/>
                <w:lang w:eastAsia="en-US" w:bidi="ar-SA"/>
              </w:rPr>
              <w:t xml:space="preserve">€ </w:t>
            </w:r>
            <w:r>
              <w:rPr>
                <w:kern w:val="0"/>
                <w:sz w:val="18"/>
                <w:szCs w:val="22"/>
                <w:lang w:eastAsia="en-US" w:bidi="ar-SA"/>
              </w:rPr>
              <w:t>1.346</w:t>
            </w:r>
          </w:p>
        </w:tc>
      </w:tr>
      <w:tr>
        <w:trPr>
          <w:trHeight w:val="316" w:hRule="atLeast"/>
        </w:trPr>
        <w:tc>
          <w:tcPr>
            <w:tcW w:w="1818"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left="107" w:hanging="0"/>
              <w:jc w:val="left"/>
              <w:rPr>
                <w:b/>
                <w:b/>
                <w:sz w:val="20"/>
              </w:rPr>
            </w:pPr>
            <w:r>
              <w:rPr>
                <w:b/>
                <w:kern w:val="0"/>
                <w:sz w:val="20"/>
                <w:szCs w:val="22"/>
                <w:lang w:eastAsia="en-US" w:bidi="ar-SA"/>
              </w:rPr>
              <w:t>Landeck</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359</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60" w:hanging="0"/>
              <w:jc w:val="left"/>
              <w:rPr>
                <w:sz w:val="18"/>
              </w:rPr>
            </w:pPr>
            <w:r>
              <w:rPr>
                <w:kern w:val="0"/>
                <w:sz w:val="18"/>
                <w:szCs w:val="22"/>
                <w:lang w:eastAsia="en-US" w:bidi="ar-SA"/>
              </w:rPr>
              <w:t xml:space="preserve">€ </w:t>
            </w:r>
            <w:r>
              <w:rPr>
                <w:kern w:val="0"/>
                <w:sz w:val="18"/>
                <w:szCs w:val="22"/>
                <w:lang w:eastAsia="en-US" w:bidi="ar-SA"/>
              </w:rPr>
              <w:t>485</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59" w:hanging="0"/>
              <w:jc w:val="left"/>
              <w:rPr>
                <w:sz w:val="18"/>
              </w:rPr>
            </w:pPr>
            <w:r>
              <w:rPr>
                <w:kern w:val="0"/>
                <w:sz w:val="18"/>
                <w:szCs w:val="22"/>
                <w:lang w:eastAsia="en-US" w:bidi="ar-SA"/>
              </w:rPr>
              <w:t xml:space="preserve">€ </w:t>
            </w:r>
            <w:r>
              <w:rPr>
                <w:kern w:val="0"/>
                <w:sz w:val="18"/>
                <w:szCs w:val="22"/>
                <w:lang w:eastAsia="en-US" w:bidi="ar-SA"/>
              </w:rPr>
              <w:t>611</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716</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815</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7" w:hanging="0"/>
              <w:rPr>
                <w:sz w:val="18"/>
              </w:rPr>
            </w:pPr>
            <w:r>
              <w:rPr>
                <w:kern w:val="0"/>
                <w:sz w:val="18"/>
                <w:szCs w:val="22"/>
                <w:lang w:eastAsia="en-US" w:bidi="ar-SA"/>
              </w:rPr>
              <w:t xml:space="preserve">€ </w:t>
            </w:r>
            <w:r>
              <w:rPr>
                <w:kern w:val="0"/>
                <w:sz w:val="18"/>
                <w:szCs w:val="22"/>
                <w:lang w:eastAsia="en-US" w:bidi="ar-SA"/>
              </w:rPr>
              <w:t>908</w:t>
            </w:r>
          </w:p>
        </w:tc>
        <w:tc>
          <w:tcPr>
            <w:tcW w:w="10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8" w:hanging="0"/>
              <w:rPr>
                <w:sz w:val="18"/>
              </w:rPr>
            </w:pPr>
            <w:r>
              <w:rPr>
                <w:kern w:val="0"/>
                <w:sz w:val="18"/>
                <w:szCs w:val="22"/>
                <w:lang w:eastAsia="en-US" w:bidi="ar-SA"/>
              </w:rPr>
              <w:t xml:space="preserve">€ </w:t>
            </w:r>
            <w:r>
              <w:rPr>
                <w:kern w:val="0"/>
                <w:sz w:val="18"/>
                <w:szCs w:val="22"/>
                <w:lang w:eastAsia="en-US" w:bidi="ar-SA"/>
              </w:rPr>
              <w:t>1.053</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5" w:hanging="0"/>
              <w:rPr>
                <w:sz w:val="18"/>
              </w:rPr>
            </w:pPr>
            <w:r>
              <w:rPr>
                <w:kern w:val="0"/>
                <w:sz w:val="18"/>
                <w:szCs w:val="22"/>
                <w:lang w:eastAsia="en-US" w:bidi="ar-SA"/>
              </w:rPr>
              <w:t xml:space="preserve">€ </w:t>
            </w:r>
            <w:r>
              <w:rPr>
                <w:kern w:val="0"/>
                <w:sz w:val="18"/>
                <w:szCs w:val="22"/>
                <w:lang w:eastAsia="en-US" w:bidi="ar-SA"/>
              </w:rPr>
              <w:t>1.133</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8" w:hanging="0"/>
              <w:rPr>
                <w:sz w:val="18"/>
              </w:rPr>
            </w:pPr>
            <w:r>
              <w:rPr>
                <w:kern w:val="0"/>
                <w:sz w:val="18"/>
                <w:szCs w:val="22"/>
                <w:lang w:eastAsia="en-US" w:bidi="ar-SA"/>
              </w:rPr>
              <w:t xml:space="preserve">€ </w:t>
            </w:r>
            <w:r>
              <w:rPr>
                <w:kern w:val="0"/>
                <w:sz w:val="18"/>
                <w:szCs w:val="22"/>
                <w:lang w:eastAsia="en-US" w:bidi="ar-SA"/>
              </w:rPr>
              <w:t>1.221</w:t>
            </w:r>
          </w:p>
        </w:tc>
      </w:tr>
      <w:tr>
        <w:trPr>
          <w:trHeight w:val="316" w:hRule="atLeast"/>
        </w:trPr>
        <w:tc>
          <w:tcPr>
            <w:tcW w:w="1818"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left="107" w:hanging="0"/>
              <w:jc w:val="left"/>
              <w:rPr>
                <w:b/>
                <w:b/>
                <w:sz w:val="20"/>
              </w:rPr>
            </w:pPr>
            <w:r>
              <w:rPr>
                <w:b/>
                <w:kern w:val="0"/>
                <w:sz w:val="20"/>
                <w:szCs w:val="22"/>
                <w:lang w:eastAsia="en-US" w:bidi="ar-SA"/>
              </w:rPr>
              <w:t>Reutte</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380</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60" w:hanging="0"/>
              <w:jc w:val="left"/>
              <w:rPr>
                <w:sz w:val="18"/>
              </w:rPr>
            </w:pPr>
            <w:r>
              <w:rPr>
                <w:kern w:val="0"/>
                <w:sz w:val="18"/>
                <w:szCs w:val="22"/>
                <w:lang w:eastAsia="en-US" w:bidi="ar-SA"/>
              </w:rPr>
              <w:t xml:space="preserve">€ </w:t>
            </w:r>
            <w:r>
              <w:rPr>
                <w:kern w:val="0"/>
                <w:sz w:val="18"/>
                <w:szCs w:val="22"/>
                <w:lang w:eastAsia="en-US" w:bidi="ar-SA"/>
              </w:rPr>
              <w:t>499</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59" w:hanging="0"/>
              <w:jc w:val="left"/>
              <w:rPr>
                <w:sz w:val="18"/>
              </w:rPr>
            </w:pPr>
            <w:r>
              <w:rPr>
                <w:kern w:val="0"/>
                <w:sz w:val="18"/>
                <w:szCs w:val="22"/>
                <w:lang w:eastAsia="en-US" w:bidi="ar-SA"/>
              </w:rPr>
              <w:t xml:space="preserve">€ </w:t>
            </w:r>
            <w:r>
              <w:rPr>
                <w:kern w:val="0"/>
                <w:sz w:val="18"/>
                <w:szCs w:val="22"/>
                <w:lang w:eastAsia="en-US" w:bidi="ar-SA"/>
              </w:rPr>
              <w:t>630</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753</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857</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7" w:hanging="0"/>
              <w:rPr>
                <w:sz w:val="18"/>
              </w:rPr>
            </w:pPr>
            <w:r>
              <w:rPr>
                <w:kern w:val="0"/>
                <w:sz w:val="18"/>
                <w:szCs w:val="22"/>
                <w:lang w:eastAsia="en-US" w:bidi="ar-SA"/>
              </w:rPr>
              <w:t xml:space="preserve">€ </w:t>
            </w:r>
            <w:r>
              <w:rPr>
                <w:kern w:val="0"/>
                <w:sz w:val="18"/>
                <w:szCs w:val="22"/>
                <w:lang w:eastAsia="en-US" w:bidi="ar-SA"/>
              </w:rPr>
              <w:t>952</w:t>
            </w:r>
          </w:p>
        </w:tc>
        <w:tc>
          <w:tcPr>
            <w:tcW w:w="10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8" w:hanging="0"/>
              <w:rPr>
                <w:sz w:val="18"/>
              </w:rPr>
            </w:pPr>
            <w:r>
              <w:rPr>
                <w:kern w:val="0"/>
                <w:sz w:val="18"/>
                <w:szCs w:val="22"/>
                <w:lang w:eastAsia="en-US" w:bidi="ar-SA"/>
              </w:rPr>
              <w:t xml:space="preserve">€ </w:t>
            </w:r>
            <w:r>
              <w:rPr>
                <w:kern w:val="0"/>
                <w:sz w:val="18"/>
                <w:szCs w:val="22"/>
                <w:lang w:eastAsia="en-US" w:bidi="ar-SA"/>
              </w:rPr>
              <w:t>1.100</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8" w:hanging="0"/>
              <w:rPr>
                <w:sz w:val="18"/>
              </w:rPr>
            </w:pPr>
            <w:r>
              <w:rPr>
                <w:kern w:val="0"/>
                <w:sz w:val="18"/>
                <w:szCs w:val="22"/>
                <w:lang w:eastAsia="en-US" w:bidi="ar-SA"/>
              </w:rPr>
              <w:t xml:space="preserve">€ </w:t>
            </w:r>
            <w:r>
              <w:rPr>
                <w:kern w:val="0"/>
                <w:sz w:val="18"/>
                <w:szCs w:val="22"/>
                <w:lang w:eastAsia="en-US" w:bidi="ar-SA"/>
              </w:rPr>
              <w:t>1.185</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8" w:hanging="0"/>
              <w:rPr>
                <w:sz w:val="18"/>
              </w:rPr>
            </w:pPr>
            <w:r>
              <w:rPr>
                <w:kern w:val="0"/>
                <w:sz w:val="18"/>
                <w:szCs w:val="22"/>
                <w:lang w:eastAsia="en-US" w:bidi="ar-SA"/>
              </w:rPr>
              <w:t xml:space="preserve">€ </w:t>
            </w:r>
            <w:r>
              <w:rPr>
                <w:kern w:val="0"/>
                <w:sz w:val="18"/>
                <w:szCs w:val="22"/>
                <w:lang w:eastAsia="en-US" w:bidi="ar-SA"/>
              </w:rPr>
              <w:t>1.280</w:t>
            </w:r>
          </w:p>
        </w:tc>
      </w:tr>
      <w:tr>
        <w:trPr>
          <w:trHeight w:val="318" w:hRule="atLeast"/>
        </w:trPr>
        <w:tc>
          <w:tcPr>
            <w:tcW w:w="1818" w:type="dxa"/>
            <w:tcBorders>
              <w:top w:val="single" w:sz="4" w:space="0" w:color="000000"/>
              <w:left w:val="single" w:sz="4" w:space="0" w:color="000000"/>
              <w:bottom w:val="single" w:sz="4" w:space="0" w:color="000000"/>
              <w:right w:val="single" w:sz="4" w:space="0" w:color="000000"/>
            </w:tcBorders>
            <w:shd w:color="auto" w:fill="D9D9D9" w:val="clear"/>
          </w:tcPr>
          <w:p>
            <w:pPr>
              <w:pStyle w:val="TableParagraph"/>
              <w:widowControl w:val="false"/>
              <w:suppressAutoHyphens w:val="true"/>
              <w:spacing w:lineRule="exact" w:line="225" w:before="0" w:after="0"/>
              <w:ind w:left="107" w:hanging="0"/>
              <w:jc w:val="left"/>
              <w:rPr>
                <w:b/>
                <w:b/>
                <w:sz w:val="20"/>
              </w:rPr>
            </w:pPr>
            <w:r>
              <w:rPr>
                <w:b/>
                <w:kern w:val="0"/>
                <w:sz w:val="20"/>
                <w:szCs w:val="22"/>
                <w:lang w:eastAsia="en-US" w:bidi="ar-SA"/>
              </w:rPr>
              <w:t>Lienz</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368</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60" w:hanging="0"/>
              <w:jc w:val="left"/>
              <w:rPr>
                <w:sz w:val="18"/>
              </w:rPr>
            </w:pPr>
            <w:r>
              <w:rPr>
                <w:kern w:val="0"/>
                <w:sz w:val="18"/>
                <w:szCs w:val="22"/>
                <w:lang w:eastAsia="en-US" w:bidi="ar-SA"/>
              </w:rPr>
              <w:t xml:space="preserve">€ </w:t>
            </w:r>
            <w:r>
              <w:rPr>
                <w:kern w:val="0"/>
                <w:sz w:val="18"/>
                <w:szCs w:val="22"/>
                <w:lang w:eastAsia="en-US" w:bidi="ar-SA"/>
              </w:rPr>
              <w:t>480</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59" w:hanging="0"/>
              <w:jc w:val="left"/>
              <w:rPr>
                <w:sz w:val="18"/>
              </w:rPr>
            </w:pPr>
            <w:r>
              <w:rPr>
                <w:kern w:val="0"/>
                <w:sz w:val="18"/>
                <w:szCs w:val="22"/>
                <w:lang w:eastAsia="en-US" w:bidi="ar-SA"/>
              </w:rPr>
              <w:t xml:space="preserve">€ </w:t>
            </w:r>
            <w:r>
              <w:rPr>
                <w:kern w:val="0"/>
                <w:sz w:val="18"/>
                <w:szCs w:val="22"/>
                <w:lang w:eastAsia="en-US" w:bidi="ar-SA"/>
              </w:rPr>
              <w:t>592</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732</w:t>
            </w:r>
          </w:p>
        </w:tc>
        <w:tc>
          <w:tcPr>
            <w:tcW w:w="102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4" w:hanging="0"/>
              <w:rPr>
                <w:sz w:val="18"/>
              </w:rPr>
            </w:pPr>
            <w:r>
              <w:rPr>
                <w:kern w:val="0"/>
                <w:sz w:val="18"/>
                <w:szCs w:val="22"/>
                <w:lang w:eastAsia="en-US" w:bidi="ar-SA"/>
              </w:rPr>
              <w:t xml:space="preserve">€ </w:t>
            </w:r>
            <w:r>
              <w:rPr>
                <w:kern w:val="0"/>
                <w:sz w:val="18"/>
                <w:szCs w:val="22"/>
                <w:lang w:eastAsia="en-US" w:bidi="ar-SA"/>
              </w:rPr>
              <w:t>834</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7" w:hanging="0"/>
              <w:rPr>
                <w:sz w:val="18"/>
              </w:rPr>
            </w:pPr>
            <w:r>
              <w:rPr>
                <w:kern w:val="0"/>
                <w:sz w:val="18"/>
                <w:szCs w:val="22"/>
                <w:lang w:eastAsia="en-US" w:bidi="ar-SA"/>
              </w:rPr>
              <w:t xml:space="preserve">€ </w:t>
            </w:r>
            <w:r>
              <w:rPr>
                <w:kern w:val="0"/>
                <w:sz w:val="18"/>
                <w:szCs w:val="22"/>
                <w:lang w:eastAsia="en-US" w:bidi="ar-SA"/>
              </w:rPr>
              <w:t>928</w:t>
            </w:r>
          </w:p>
        </w:tc>
        <w:tc>
          <w:tcPr>
            <w:tcW w:w="102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8" w:hanging="0"/>
              <w:rPr>
                <w:sz w:val="18"/>
              </w:rPr>
            </w:pPr>
            <w:r>
              <w:rPr>
                <w:kern w:val="0"/>
                <w:sz w:val="18"/>
                <w:szCs w:val="22"/>
                <w:lang w:eastAsia="en-US" w:bidi="ar-SA"/>
              </w:rPr>
              <w:t xml:space="preserve">€ </w:t>
            </w:r>
            <w:r>
              <w:rPr>
                <w:kern w:val="0"/>
                <w:sz w:val="18"/>
                <w:szCs w:val="22"/>
                <w:lang w:eastAsia="en-US" w:bidi="ar-SA"/>
              </w:rPr>
              <w:t>1.074</w:t>
            </w:r>
          </w:p>
        </w:tc>
        <w:tc>
          <w:tcPr>
            <w:tcW w:w="102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8" w:hanging="0"/>
              <w:rPr>
                <w:sz w:val="18"/>
              </w:rPr>
            </w:pPr>
            <w:r>
              <w:rPr>
                <w:kern w:val="0"/>
                <w:sz w:val="18"/>
                <w:szCs w:val="22"/>
                <w:lang w:eastAsia="en-US" w:bidi="ar-SA"/>
              </w:rPr>
              <w:t xml:space="preserve">€ </w:t>
            </w:r>
            <w:r>
              <w:rPr>
                <w:kern w:val="0"/>
                <w:sz w:val="18"/>
                <w:szCs w:val="22"/>
                <w:lang w:eastAsia="en-US" w:bidi="ar-SA"/>
              </w:rPr>
              <w:t>1.164</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right="98" w:hanging="0"/>
              <w:rPr>
                <w:sz w:val="18"/>
              </w:rPr>
            </w:pPr>
            <w:r>
              <w:rPr>
                <w:kern w:val="0"/>
                <w:sz w:val="18"/>
                <w:szCs w:val="22"/>
                <w:lang w:eastAsia="en-US" w:bidi="ar-SA"/>
              </w:rPr>
              <w:t xml:space="preserve">€ </w:t>
            </w:r>
            <w:r>
              <w:rPr>
                <w:kern w:val="0"/>
                <w:sz w:val="18"/>
                <w:szCs w:val="22"/>
                <w:lang w:eastAsia="en-US" w:bidi="ar-SA"/>
              </w:rPr>
              <w:t>1.256</w:t>
            </w:r>
          </w:p>
        </w:tc>
      </w:tr>
    </w:tbl>
    <w:p>
      <w:pPr>
        <w:pStyle w:val="Normal"/>
        <w:rPr>
          <w:rFonts w:cs="Arial"/>
          <w:sz w:val="18"/>
          <w:szCs w:val="18"/>
          <w:lang w:val="en-US"/>
        </w:rPr>
      </w:pPr>
      <w:r>
        <w:rPr/>
      </w:r>
    </w:p>
    <w:p>
      <w:pPr>
        <w:pStyle w:val="Normal"/>
        <w:rPr>
          <w:rFonts w:cs="Arial"/>
          <w:sz w:val="18"/>
          <w:szCs w:val="18"/>
          <w:lang w:val="en-US"/>
        </w:rPr>
      </w:pPr>
      <w:r>
        <w:rPr>
          <w:rFonts w:cs="Arial"/>
          <w:sz w:val="18"/>
          <w:szCs w:val="18"/>
          <w:lang w:val="en-US"/>
        </w:rPr>
        <w:t>If the actual rent exceeds the amounts listed above, the balance must be paid from the benefits to secure subsistence.</w:t>
      </w:r>
    </w:p>
    <w:p>
      <w:pPr>
        <w:pStyle w:val="Normal"/>
        <w:rPr>
          <w:rFonts w:cs="Arial"/>
          <w:sz w:val="18"/>
          <w:szCs w:val="18"/>
          <w:lang w:val="en-US"/>
        </w:rPr>
      </w:pPr>
      <w:r>
        <w:rPr>
          <w:rFonts w:cs="Arial"/>
          <w:sz w:val="18"/>
          <w:szCs w:val="18"/>
          <w:lang w:val="en-US"/>
        </w:rPr>
        <w:t>Also, the costs connected with renting (deposit, etc.) are only paid proportionally when they exceed the maximum amounts.</w:t>
      </w:r>
    </w:p>
    <w:p>
      <w:pPr>
        <w:pStyle w:val="Normal"/>
        <w:jc w:val="both"/>
        <w:rPr>
          <w:szCs w:val="20"/>
          <w:lang w:val="en-US"/>
        </w:rPr>
      </w:pPr>
      <w:r>
        <w:rPr>
          <w:rFonts w:cs="Arial"/>
          <w:b/>
          <w:sz w:val="18"/>
          <w:szCs w:val="18"/>
          <w:lang w:val="en-US"/>
        </w:rPr>
        <w:t>IMPORTANT:</w:t>
      </w:r>
      <w:r>
        <w:rPr>
          <w:rFonts w:cs="Arial"/>
          <w:sz w:val="18"/>
          <w:szCs w:val="18"/>
          <w:lang w:val="en-US"/>
        </w:rPr>
        <w:t xml:space="preserve"> It is absolutely necessary to obtain approval from the competent social welfare office </w:t>
      </w:r>
      <w:r>
        <w:rPr>
          <w:rFonts w:cs="Arial"/>
          <w:b/>
          <w:sz w:val="18"/>
          <w:szCs w:val="18"/>
          <w:u w:val="single"/>
          <w:lang w:val="en-US"/>
        </w:rPr>
        <w:t>prior</w:t>
      </w:r>
      <w:r>
        <w:rPr>
          <w:rFonts w:cs="Arial"/>
          <w:sz w:val="18"/>
          <w:szCs w:val="18"/>
          <w:lang w:val="en-US"/>
        </w:rPr>
        <w:t xml:space="preserve"> to rental!</w:t>
      </w:r>
    </w:p>
    <w:p>
      <w:pPr>
        <w:pStyle w:val="Normal"/>
        <w:jc w:val="both"/>
        <w:rPr>
          <w:sz w:val="22"/>
          <w:szCs w:val="22"/>
          <w:lang w:val="en-US"/>
        </w:rPr>
      </w:pPr>
      <w:r>
        <w:rPr>
          <w:sz w:val="22"/>
          <w:szCs w:val="22"/>
          <w:lang w:val="en-US"/>
        </w:rPr>
      </w:r>
    </w:p>
    <w:p>
      <w:pPr>
        <w:pStyle w:val="Normal"/>
        <w:jc w:val="both"/>
        <w:rPr>
          <w:sz w:val="22"/>
          <w:szCs w:val="22"/>
          <w:lang w:val="en-US"/>
        </w:rPr>
      </w:pPr>
      <w:r>
        <w:rPr>
          <w:sz w:val="22"/>
          <w:szCs w:val="22"/>
          <w:lang w:val="en-US"/>
        </w:rPr>
      </w:r>
    </w:p>
    <w:p>
      <w:pPr>
        <w:pStyle w:val="Normal"/>
        <w:numPr>
          <w:ilvl w:val="0"/>
          <w:numId w:val="0"/>
        </w:numPr>
        <w:ind w:left="0" w:firstLine="708"/>
        <w:jc w:val="center"/>
        <w:outlineLvl w:val="0"/>
        <w:rPr>
          <w:b/>
          <w:b/>
          <w:sz w:val="22"/>
          <w:szCs w:val="22"/>
          <w:lang w:val="en-US"/>
        </w:rPr>
      </w:pPr>
      <w:r>
        <w:rPr>
          <w:rFonts w:cs="Arial"/>
          <w:b/>
          <w:sz w:val="22"/>
          <w:szCs w:val="22"/>
          <w:lang w:val="en-US"/>
        </w:rPr>
        <w:t>Maximum rates for basic equipment as per regulation</w:t>
      </w:r>
    </w:p>
    <w:p>
      <w:pPr>
        <w:pStyle w:val="Normal"/>
        <w:rPr>
          <w:rFonts w:cs="Arial"/>
          <w:b/>
          <w:b/>
          <w:sz w:val="18"/>
          <w:szCs w:val="18"/>
          <w:lang w:val="en-US"/>
        </w:rPr>
      </w:pPr>
      <w:r>
        <w:rPr>
          <w:rFonts w:cs="Arial"/>
          <w:b/>
          <w:sz w:val="18"/>
          <w:szCs w:val="18"/>
          <w:lang w:val="en-US"/>
        </w:rPr>
      </w:r>
    </w:p>
    <w:tbl>
      <w:tblPr>
        <w:tblStyle w:val="Tabellenraster"/>
        <w:tblW w:w="1059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637"/>
        <w:gridCol w:w="4960"/>
      </w:tblGrid>
      <w:tr>
        <w:trPr/>
        <w:tc>
          <w:tcPr>
            <w:tcW w:w="5637" w:type="dxa"/>
            <w:tcBorders/>
            <w:vAlign w:val="center"/>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singles or persons in shared flats</w:t>
            </w:r>
          </w:p>
        </w:tc>
        <w:tc>
          <w:tcPr>
            <w:tcW w:w="4960"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1,090</w:t>
            </w:r>
          </w:p>
        </w:tc>
      </w:tr>
      <w:tr>
        <w:trPr/>
        <w:tc>
          <w:tcPr>
            <w:tcW w:w="5637"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with kitchen unit</w:t>
            </w:r>
          </w:p>
        </w:tc>
        <w:tc>
          <w:tcPr>
            <w:tcW w:w="4960"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2,040</w:t>
            </w:r>
          </w:p>
        </w:tc>
      </w:tr>
      <w:tr>
        <w:trPr/>
        <w:tc>
          <w:tcPr>
            <w:tcW w:w="5637"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communities of dependence</w:t>
            </w:r>
          </w:p>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however, up to a maximum of</w:t>
            </w:r>
          </w:p>
        </w:tc>
        <w:tc>
          <w:tcPr>
            <w:tcW w:w="4960"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1,090 + € 300 for each additional person</w:t>
            </w:r>
          </w:p>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2,590</w:t>
            </w:r>
          </w:p>
        </w:tc>
      </w:tr>
      <w:tr>
        <w:trPr/>
        <w:tc>
          <w:tcPr>
            <w:tcW w:w="5637"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communities of dependence if a kitchen unit is necessary</w:t>
            </w:r>
          </w:p>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however, up to a maximum of</w:t>
            </w:r>
          </w:p>
        </w:tc>
        <w:tc>
          <w:tcPr>
            <w:tcW w:w="4960"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2,040 + € 300 for each additional person</w:t>
            </w:r>
          </w:p>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3,540</w:t>
            </w:r>
          </w:p>
        </w:tc>
      </w:tr>
    </w:tbl>
    <w:p>
      <w:pPr>
        <w:pStyle w:val="Normal"/>
        <w:rPr>
          <w:rFonts w:cs="Arial"/>
          <w:b/>
          <w:b/>
          <w:szCs w:val="20"/>
          <w:lang w:val="en-US"/>
        </w:rPr>
      </w:pPr>
      <w:r>
        <w:rPr>
          <w:rFonts w:cs="Arial"/>
          <w:b/>
          <w:szCs w:val="20"/>
          <w:lang w:val="en-US"/>
        </w:rPr>
      </w:r>
    </w:p>
    <w:p>
      <w:pPr>
        <w:pStyle w:val="Normal"/>
        <w:rPr>
          <w:rFonts w:cs="Arial"/>
          <w:b/>
          <w:b/>
          <w:szCs w:val="20"/>
          <w:lang w:val="en-US"/>
        </w:rPr>
      </w:pPr>
      <w:r>
        <w:rPr>
          <w:rFonts w:cs="Arial"/>
          <w:b/>
          <w:szCs w:val="20"/>
          <w:lang w:val="en-US"/>
        </w:rPr>
      </w:r>
    </w:p>
    <w:p>
      <w:pPr>
        <w:pStyle w:val="Normal"/>
        <w:numPr>
          <w:ilvl w:val="0"/>
          <w:numId w:val="0"/>
        </w:numPr>
        <w:ind w:left="0" w:firstLine="708"/>
        <w:jc w:val="center"/>
        <w:outlineLvl w:val="0"/>
        <w:rPr>
          <w:rFonts w:cs="Arial"/>
          <w:b/>
          <w:b/>
          <w:szCs w:val="20"/>
          <w:lang w:val="en-US"/>
        </w:rPr>
      </w:pPr>
      <w:r>
        <w:rPr>
          <w:rFonts w:cs="Arial"/>
          <w:b/>
          <w:szCs w:val="20"/>
          <w:lang w:val="en-US"/>
        </w:rPr>
        <w:t>Maximum rates for individual furnishings and household goods</w:t>
      </w:r>
    </w:p>
    <w:p>
      <w:pPr>
        <w:pStyle w:val="Normal"/>
        <w:rPr>
          <w:rFonts w:cs="Arial"/>
          <w:b/>
          <w:b/>
          <w:sz w:val="18"/>
          <w:szCs w:val="18"/>
          <w:lang w:val="en-US"/>
        </w:rPr>
      </w:pPr>
      <w:r>
        <w:rPr>
          <w:rFonts w:cs="Arial"/>
          <w:b/>
          <w:sz w:val="18"/>
          <w:szCs w:val="18"/>
          <w:lang w:val="en-US"/>
        </w:rPr>
      </w:r>
    </w:p>
    <w:tbl>
      <w:tblPr>
        <w:tblStyle w:val="Tabellenraster"/>
        <w:tblW w:w="1059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73"/>
        <w:gridCol w:w="2124"/>
      </w:tblGrid>
      <w:tr>
        <w:trPr/>
        <w:tc>
          <w:tcPr>
            <w:tcW w:w="8473"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bed including slat frame and mattress or sofa bed</w:t>
            </w:r>
          </w:p>
        </w:tc>
        <w:tc>
          <w:tcPr>
            <w:tcW w:w="2124"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250</w:t>
            </w:r>
          </w:p>
        </w:tc>
      </w:tr>
      <w:tr>
        <w:trPr/>
        <w:tc>
          <w:tcPr>
            <w:tcW w:w="8473"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wardrobe</w:t>
            </w:r>
          </w:p>
        </w:tc>
        <w:tc>
          <w:tcPr>
            <w:tcW w:w="2124"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150</w:t>
            </w:r>
          </w:p>
        </w:tc>
      </w:tr>
      <w:tr>
        <w:trPr/>
        <w:tc>
          <w:tcPr>
            <w:tcW w:w="8473"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desk</w:t>
            </w:r>
          </w:p>
        </w:tc>
        <w:tc>
          <w:tcPr>
            <w:tcW w:w="2124"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70</w:t>
            </w:r>
          </w:p>
        </w:tc>
      </w:tr>
      <w:tr>
        <w:trPr/>
        <w:tc>
          <w:tcPr>
            <w:tcW w:w="8473"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chair</w:t>
            </w:r>
          </w:p>
        </w:tc>
        <w:tc>
          <w:tcPr>
            <w:tcW w:w="2124"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40</w:t>
            </w:r>
          </w:p>
        </w:tc>
      </w:tr>
      <w:tr>
        <w:trPr/>
        <w:tc>
          <w:tcPr>
            <w:tcW w:w="8473"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kitchen furniture (without appliances)</w:t>
            </w:r>
          </w:p>
        </w:tc>
        <w:tc>
          <w:tcPr>
            <w:tcW w:w="2124"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450</w:t>
            </w:r>
          </w:p>
        </w:tc>
      </w:tr>
      <w:tr>
        <w:trPr/>
        <w:tc>
          <w:tcPr>
            <w:tcW w:w="8473"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kitchen unit including appliances and fittings</w:t>
            </w:r>
          </w:p>
        </w:tc>
        <w:tc>
          <w:tcPr>
            <w:tcW w:w="2124"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1,400</w:t>
            </w:r>
          </w:p>
        </w:tc>
      </w:tr>
      <w:tr>
        <w:trPr/>
        <w:tc>
          <w:tcPr>
            <w:tcW w:w="8473"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coat rack, other small furniture, curtains, venetian blinds</w:t>
            </w:r>
          </w:p>
        </w:tc>
        <w:tc>
          <w:tcPr>
            <w:tcW w:w="2124"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90</w:t>
            </w:r>
          </w:p>
        </w:tc>
      </w:tr>
      <w:tr>
        <w:trPr/>
        <w:tc>
          <w:tcPr>
            <w:tcW w:w="8473" w:type="dxa"/>
            <w:tcBorders/>
            <w:vAlign w:val="center"/>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lighting</w:t>
            </w:r>
          </w:p>
        </w:tc>
        <w:tc>
          <w:tcPr>
            <w:tcW w:w="2124"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40</w:t>
            </w:r>
          </w:p>
        </w:tc>
      </w:tr>
      <w:tr>
        <w:trPr/>
        <w:tc>
          <w:tcPr>
            <w:tcW w:w="8473" w:type="dxa"/>
            <w:tcBorders/>
          </w:tcPr>
          <w:p>
            <w:pPr>
              <w:pStyle w:val="NormalWeb"/>
              <w:widowControl w:val="false"/>
              <w:spacing w:before="0" w:after="0"/>
              <w:jc w:val="left"/>
              <w:rPr>
                <w:rFonts w:ascii="Arial" w:hAnsi="Arial" w:cs="Arial"/>
                <w:sz w:val="20"/>
                <w:szCs w:val="20"/>
                <w:lang w:val="en-US"/>
              </w:rPr>
            </w:pPr>
            <w:r>
              <w:rPr>
                <w:rFonts w:eastAsia="Calibri" w:cs="Arial" w:ascii="Arial" w:hAnsi="Arial"/>
                <w:kern w:val="0"/>
                <w:sz w:val="20"/>
                <w:szCs w:val="20"/>
                <w:lang w:val="en-US" w:eastAsia="en-US" w:bidi="ar-SA"/>
              </w:rPr>
              <w:t>household goods* for singles (also in a shared flat), in communities of dependence for the first person</w:t>
            </w:r>
          </w:p>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in communities of dependence for each additional person</w:t>
            </w:r>
          </w:p>
        </w:tc>
        <w:tc>
          <w:tcPr>
            <w:tcW w:w="2124" w:type="dxa"/>
            <w:tcBorders/>
          </w:tcPr>
          <w:p>
            <w:pPr>
              <w:pStyle w:val="Normal"/>
              <w:widowControl w:val="false"/>
              <w:spacing w:before="0" w:after="0"/>
              <w:jc w:val="right"/>
              <w:rPr>
                <w:rFonts w:cs="Arial"/>
                <w:sz w:val="20"/>
                <w:szCs w:val="20"/>
                <w:lang w:val="en-US"/>
              </w:rPr>
            </w:pPr>
            <w:r>
              <w:rPr>
                <w:rFonts w:cs="Arial"/>
                <w:sz w:val="20"/>
                <w:szCs w:val="20"/>
                <w:lang w:val="en-US"/>
              </w:rPr>
            </w:r>
          </w:p>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250</w:t>
            </w:r>
          </w:p>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100</w:t>
            </w:r>
          </w:p>
        </w:tc>
      </w:tr>
    </w:tbl>
    <w:p>
      <w:pPr>
        <w:pStyle w:val="Normal"/>
        <w:rPr>
          <w:rFonts w:cs="Arial"/>
          <w:sz w:val="18"/>
          <w:szCs w:val="18"/>
          <w:lang w:val="en-US"/>
        </w:rPr>
      </w:pPr>
      <w:r>
        <w:rPr>
          <w:rFonts w:cs="Arial"/>
          <w:sz w:val="18"/>
          <w:szCs w:val="18"/>
          <w:lang w:val="en-US"/>
        </w:rPr>
        <w:t>* household goods include: basic cooking utensils, dishes, cutlery, glassware, cups, cleaning utensils, bedding, blanket and pillow, towels, drying rack and the like.</w:t>
      </w:r>
    </w:p>
    <w:p>
      <w:pPr>
        <w:pStyle w:val="Normal"/>
        <w:rPr>
          <w:rFonts w:cs="Arial"/>
          <w:b/>
          <w:b/>
          <w:szCs w:val="20"/>
          <w:lang w:val="en-US"/>
        </w:rPr>
      </w:pPr>
      <w:r>
        <w:rPr>
          <w:rFonts w:cs="Arial"/>
          <w:b/>
          <w:szCs w:val="20"/>
          <w:lang w:val="en-US"/>
        </w:rPr>
      </w:r>
    </w:p>
    <w:p>
      <w:pPr>
        <w:pStyle w:val="Normal"/>
        <w:rPr>
          <w:rFonts w:cs="Arial"/>
          <w:b/>
          <w:b/>
          <w:szCs w:val="20"/>
          <w:lang w:val="en-US"/>
        </w:rPr>
      </w:pPr>
      <w:r>
        <w:rPr>
          <w:rFonts w:cs="Arial"/>
          <w:b/>
          <w:szCs w:val="20"/>
          <w:lang w:val="en-US"/>
        </w:rPr>
      </w:r>
    </w:p>
    <w:p>
      <w:pPr>
        <w:pStyle w:val="Normal"/>
        <w:numPr>
          <w:ilvl w:val="0"/>
          <w:numId w:val="0"/>
        </w:numPr>
        <w:ind w:left="0" w:firstLine="708"/>
        <w:jc w:val="center"/>
        <w:outlineLvl w:val="0"/>
        <w:rPr/>
      </w:pPr>
      <w:r>
        <w:rPr>
          <w:rFonts w:cs="Arial"/>
          <w:b/>
          <w:szCs w:val="20"/>
          <w:lang w:val="en-US"/>
        </w:rPr>
        <w:t>Maximum rates for household appliances</w:t>
      </w:r>
    </w:p>
    <w:p>
      <w:pPr>
        <w:pStyle w:val="Normal"/>
        <w:rPr>
          <w:rFonts w:cs="Arial"/>
          <w:b/>
          <w:b/>
          <w:sz w:val="18"/>
          <w:szCs w:val="18"/>
          <w:lang w:val="en-US"/>
        </w:rPr>
      </w:pPr>
      <w:r>
        <w:rPr>
          <w:rFonts w:cs="Arial"/>
          <w:b/>
          <w:szCs w:val="20"/>
          <w:lang w:val="en-US"/>
        </w:rPr>
        <w:t xml:space="preserve"> </w:t>
      </w:r>
    </w:p>
    <w:tbl>
      <w:tblPr>
        <w:tblStyle w:val="Tabellenraster"/>
        <w:tblW w:w="1059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73"/>
        <w:gridCol w:w="2124"/>
      </w:tblGrid>
      <w:tr>
        <w:trPr/>
        <w:tc>
          <w:tcPr>
            <w:tcW w:w="8473"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stove**</w:t>
            </w:r>
          </w:p>
        </w:tc>
        <w:tc>
          <w:tcPr>
            <w:tcW w:w="2124"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300</w:t>
            </w:r>
          </w:p>
        </w:tc>
      </w:tr>
      <w:tr>
        <w:trPr/>
        <w:tc>
          <w:tcPr>
            <w:tcW w:w="8473"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fridge**</w:t>
            </w:r>
          </w:p>
        </w:tc>
        <w:tc>
          <w:tcPr>
            <w:tcW w:w="2124"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350</w:t>
            </w:r>
          </w:p>
        </w:tc>
      </w:tr>
      <w:tr>
        <w:trPr/>
        <w:tc>
          <w:tcPr>
            <w:tcW w:w="8473"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washing machine***</w:t>
            </w:r>
          </w:p>
        </w:tc>
        <w:tc>
          <w:tcPr>
            <w:tcW w:w="2124"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350</w:t>
            </w:r>
          </w:p>
        </w:tc>
      </w:tr>
      <w:tr>
        <w:trPr/>
        <w:tc>
          <w:tcPr>
            <w:tcW w:w="8473"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 xml:space="preserve">clothes dryer </w:t>
            </w:r>
            <w:r>
              <w:rPr>
                <w:rFonts w:eastAsia="Calibri" w:cs="Arial"/>
                <w:kern w:val="0"/>
                <w:sz w:val="18"/>
                <w:szCs w:val="18"/>
                <w:lang w:val="en-US" w:eastAsia="en-US" w:bidi="ar-SA"/>
              </w:rPr>
              <w:t>(min. 4 people in the household)***</w:t>
            </w:r>
          </w:p>
        </w:tc>
        <w:tc>
          <w:tcPr>
            <w:tcW w:w="2124"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300</w:t>
            </w:r>
          </w:p>
        </w:tc>
      </w:tr>
      <w:tr>
        <w:trPr/>
        <w:tc>
          <w:tcPr>
            <w:tcW w:w="8473" w:type="dxa"/>
            <w:tcBorders/>
          </w:tcPr>
          <w:p>
            <w:pPr>
              <w:pStyle w:val="Normal"/>
              <w:widowControl w:val="false"/>
              <w:spacing w:before="0" w:after="0"/>
              <w:jc w:val="left"/>
              <w:rPr>
                <w:rFonts w:cs="Arial"/>
                <w:sz w:val="20"/>
                <w:szCs w:val="20"/>
                <w:lang w:val="en-US"/>
              </w:rPr>
            </w:pPr>
            <w:r>
              <w:rPr>
                <w:rFonts w:eastAsia="Calibri" w:cs="Arial"/>
                <w:kern w:val="0"/>
                <w:sz w:val="20"/>
                <w:szCs w:val="20"/>
                <w:lang w:val="en-US" w:eastAsia="en-US" w:bidi="ar-SA"/>
              </w:rPr>
              <w:t xml:space="preserve">dishwasher </w:t>
            </w:r>
            <w:r>
              <w:rPr>
                <w:rFonts w:eastAsia="Calibri" w:cs="Arial"/>
                <w:kern w:val="0"/>
                <w:sz w:val="18"/>
                <w:szCs w:val="18"/>
                <w:lang w:val="en-US" w:eastAsia="en-US" w:bidi="ar-SA"/>
              </w:rPr>
              <w:t>(min. 5 people in the household)</w:t>
            </w:r>
          </w:p>
        </w:tc>
        <w:tc>
          <w:tcPr>
            <w:tcW w:w="2124" w:type="dxa"/>
            <w:tcBorders/>
          </w:tcPr>
          <w:p>
            <w:pPr>
              <w:pStyle w:val="Normal"/>
              <w:widowControl w:val="false"/>
              <w:spacing w:before="0" w:after="0"/>
              <w:jc w:val="right"/>
              <w:rPr>
                <w:rFonts w:cs="Arial"/>
                <w:sz w:val="20"/>
                <w:szCs w:val="20"/>
                <w:lang w:val="en-US"/>
              </w:rPr>
            </w:pPr>
            <w:r>
              <w:rPr>
                <w:rFonts w:eastAsia="Calibri" w:cs="Arial"/>
                <w:kern w:val="0"/>
                <w:sz w:val="20"/>
                <w:szCs w:val="20"/>
                <w:lang w:val="en-US" w:eastAsia="en-US" w:bidi="ar-SA"/>
              </w:rPr>
              <w:t xml:space="preserve">€ </w:t>
            </w:r>
            <w:r>
              <w:rPr>
                <w:rFonts w:eastAsia="Calibri" w:cs="Arial"/>
                <w:kern w:val="0"/>
                <w:sz w:val="20"/>
                <w:szCs w:val="20"/>
                <w:lang w:val="en-US" w:eastAsia="en-US" w:bidi="ar-SA"/>
              </w:rPr>
              <w:t>300</w:t>
            </w:r>
          </w:p>
        </w:tc>
      </w:tr>
    </w:tbl>
    <w:p>
      <w:pPr>
        <w:pStyle w:val="Normal"/>
        <w:rPr>
          <w:rFonts w:cs="Arial"/>
          <w:sz w:val="18"/>
          <w:szCs w:val="18"/>
          <w:lang w:val="en-US"/>
        </w:rPr>
      </w:pPr>
      <w:r>
        <w:rPr>
          <w:rFonts w:cs="Arial"/>
          <w:sz w:val="18"/>
          <w:szCs w:val="18"/>
          <w:lang w:val="en-US"/>
        </w:rPr>
        <w:t xml:space="preserve">** The stove and fridge are only granted if no benefits have been granted for the purchase of a kitchen unit. </w:t>
      </w:r>
    </w:p>
    <w:p>
      <w:pPr>
        <w:pStyle w:val="Normal"/>
        <w:rPr>
          <w:rFonts w:cs="Arial"/>
          <w:sz w:val="18"/>
          <w:szCs w:val="18"/>
          <w:lang w:val="en-US"/>
        </w:rPr>
      </w:pPr>
      <w:r>
        <w:rPr>
          <w:rFonts w:cs="Arial"/>
          <w:sz w:val="18"/>
          <w:szCs w:val="18"/>
          <w:lang w:val="en-US"/>
        </w:rPr>
        <w:t>If higher expenses are necessary, e.g. for medical or constructional reasons, it is possible for the social welfare office to allow higher amounts under private law.</w:t>
      </w:r>
    </w:p>
    <w:p>
      <w:pPr>
        <w:pStyle w:val="Normal"/>
        <w:jc w:val="both"/>
        <w:rPr>
          <w:szCs w:val="20"/>
          <w:lang w:val="en-US"/>
        </w:rPr>
      </w:pPr>
      <w:r>
        <w:rPr>
          <w:szCs w:val="20"/>
          <w:lang w:val="en-US"/>
        </w:rPr>
        <w:t xml:space="preserve">*** </w:t>
      </w:r>
      <w:r>
        <w:rPr>
          <w:sz w:val="18"/>
          <w:szCs w:val="18"/>
          <w:lang w:val="en-US"/>
        </w:rPr>
        <w:t xml:space="preserve">If there is no washing machine in a household of min. of 4 people, it is possible to grant a washer-dryer (combination device) with maximum rate of € 620 as an alternative. </w:t>
      </w:r>
    </w:p>
    <w:p>
      <w:pPr>
        <w:pStyle w:val="Normal"/>
        <w:jc w:val="both"/>
        <w:rPr>
          <w:szCs w:val="20"/>
          <w:lang w:val="en-US"/>
        </w:rPr>
      </w:pPr>
      <w:r>
        <w:rPr>
          <w:szCs w:val="20"/>
          <w:lang w:val="en-US"/>
        </w:rPr>
      </w:r>
    </w:p>
    <w:p>
      <w:pPr>
        <w:pStyle w:val="Normal"/>
        <w:jc w:val="right"/>
        <w:rPr>
          <w:szCs w:val="20"/>
          <w:lang w:val="en-US"/>
        </w:rPr>
      </w:pPr>
      <w:r>
        <w:rPr>
          <w:szCs w:val="20"/>
          <w:lang w:val="en-US"/>
        </w:rPr>
        <w:tab/>
        <w:tab/>
        <w:tab/>
        <w:tab/>
        <w:tab/>
        <w:tab/>
        <w:tab/>
        <w:tab/>
        <w:tab/>
        <w:tab/>
        <w:tab/>
        <w:tab/>
        <w:tab/>
      </w:r>
      <w:r>
        <w:rPr>
          <w:b/>
          <w:sz w:val="16"/>
          <w:szCs w:val="16"/>
          <w:lang w:val="en-US"/>
        </w:rPr>
        <w:t>page 4</w:t>
      </w:r>
    </w:p>
    <w:p>
      <w:pPr>
        <w:pStyle w:val="Normal"/>
        <w:numPr>
          <w:ilvl w:val="0"/>
          <w:numId w:val="0"/>
        </w:numPr>
        <w:ind w:left="0" w:hanging="0"/>
        <w:jc w:val="center"/>
        <w:outlineLvl w:val="0"/>
        <w:rPr>
          <w:b/>
          <w:b/>
          <w:sz w:val="22"/>
          <w:szCs w:val="22"/>
          <w:lang w:val="en-US"/>
        </w:rPr>
      </w:pPr>
      <w:r>
        <w:rPr>
          <w:rFonts w:cs="Arial"/>
          <w:b/>
          <w:sz w:val="22"/>
          <w:szCs w:val="22"/>
          <w:lang w:val="en-US"/>
        </w:rPr>
        <w:t>Listing of allowances</w:t>
      </w:r>
    </w:p>
    <w:p>
      <w:pPr>
        <w:pStyle w:val="ListParagraph"/>
        <w:numPr>
          <w:ilvl w:val="0"/>
          <w:numId w:val="3"/>
        </w:numPr>
        <w:tabs>
          <w:tab w:val="clear" w:pos="708"/>
          <w:tab w:val="decimal" w:pos="9923" w:leader="dot"/>
        </w:tabs>
        <w:rPr>
          <w:spacing w:val="-4"/>
          <w:szCs w:val="20"/>
          <w:lang w:val="en-US"/>
        </w:rPr>
      </w:pPr>
      <w:r>
        <w:rPr>
          <w:rFonts w:cs="Arial"/>
          <w:lang w:val="en-US"/>
        </w:rPr>
        <w:t xml:space="preserve">allowances for </w:t>
      </w:r>
      <w:r>
        <w:rPr>
          <w:rFonts w:cs="Arial"/>
          <w:u w:val="single"/>
          <w:lang w:val="en-US"/>
        </w:rPr>
        <w:t>earned income</w:t>
      </w:r>
      <w:r>
        <w:rPr>
          <w:szCs w:val="20"/>
          <w:lang w:val="en-US"/>
        </w:rPr>
        <w:t xml:space="preserve">: </w:t>
        <w:br/>
        <w:t xml:space="preserve">- </w:t>
      </w:r>
      <w:r>
        <w:rPr>
          <w:rFonts w:cs="Arial"/>
          <w:lang w:val="en-US"/>
        </w:rPr>
        <w:t>for single parents who are looking after at least one child of preschool or compulsory school age and simultaneously holding down a job OR persons of higher age or with decreased working ability who are holding down a job</w:t>
      </w:r>
      <w:r>
        <w:rPr>
          <w:spacing w:val="-4"/>
          <w:szCs w:val="20"/>
          <w:lang w:val="en-US"/>
        </w:rPr>
        <w:t xml:space="preserve"> ...........................................................................................................................................................................€ </w:t>
      </w:r>
      <w:r>
        <w:rPr>
          <w:szCs w:val="20"/>
          <w:lang w:val="en-US"/>
        </w:rPr>
        <w:t>3</w:t>
      </w:r>
      <w:r>
        <w:rPr>
          <w:szCs w:val="20"/>
          <w:lang w:val="en-US"/>
        </w:rPr>
        <w:t>46</w:t>
      </w:r>
      <w:r>
        <w:rPr>
          <w:szCs w:val="20"/>
          <w:lang w:val="en-US"/>
        </w:rPr>
        <w:t>.</w:t>
      </w:r>
      <w:r>
        <w:rPr>
          <w:szCs w:val="20"/>
          <w:lang w:val="en-US"/>
        </w:rPr>
        <w:t>75</w:t>
      </w:r>
      <w:r>
        <w:rPr>
          <w:szCs w:val="20"/>
          <w:lang w:val="en-US"/>
        </w:rPr>
        <w:br/>
      </w:r>
      <w:r>
        <w:rPr>
          <w:rFonts w:eastAsia="Wingdings" w:cs="Wingdings" w:ascii="Wingdings" w:hAnsi="Wingdings"/>
          <w:szCs w:val="20"/>
          <w:lang w:val="en-US"/>
        </w:rPr>
        <w:t>-</w:t>
      </w:r>
      <w:r>
        <w:rPr>
          <w:szCs w:val="20"/>
          <w:lang w:val="en-US"/>
        </w:rPr>
        <w:t xml:space="preserve"> </w:t>
      </w:r>
      <w:r>
        <w:rPr>
          <w:rFonts w:cs="Arial"/>
          <w:lang w:val="en-US"/>
        </w:rPr>
        <w:t>if you are unemployed for the first time or have been unemployed for over 9 months (interruptions of up to 3 months possible) and you have been drawing minimum income benefits for at least 6 months, according to your working hours, for the first 6 months</w:t>
      </w:r>
      <w:r>
        <w:rPr>
          <w:szCs w:val="20"/>
          <w:lang w:val="en-US"/>
        </w:rPr>
        <w:t xml:space="preserve">: </w:t>
        <w:br/>
      </w:r>
      <w:r>
        <w:rPr>
          <w:rFonts w:cs="Arial"/>
          <w:lang w:val="en-US"/>
        </w:rPr>
        <w:t>full-time employment over 50%..........</w:t>
      </w:r>
      <w:r>
        <w:rPr>
          <w:spacing w:val="-4"/>
          <w:szCs w:val="20"/>
          <w:lang w:val="en-US"/>
        </w:rPr>
        <w:t>................................................................................................................ € 346.75</w:t>
      </w:r>
      <w:r>
        <w:rPr>
          <w:szCs w:val="20"/>
          <w:lang w:val="en-US"/>
        </w:rPr>
        <w:br/>
      </w:r>
      <w:r>
        <w:rPr>
          <w:rFonts w:cs="Arial"/>
          <w:lang w:val="en-US"/>
        </w:rPr>
        <w:t>full-time employment over 25% to 50%.......................................................................................................</w:t>
      </w:r>
      <w:r>
        <w:rPr>
          <w:spacing w:val="-4"/>
          <w:szCs w:val="20"/>
          <w:lang w:val="en-US"/>
        </w:rPr>
        <w:t>€ 173.38</w:t>
      </w:r>
      <w:r>
        <w:rPr>
          <w:szCs w:val="20"/>
          <w:lang w:val="en-US"/>
        </w:rPr>
        <w:br/>
      </w:r>
      <w:r>
        <w:rPr>
          <w:rFonts w:cs="Arial"/>
          <w:lang w:val="en-US"/>
        </w:rPr>
        <w:t>(subsequently, reduction of the amount for another 12 months – see homepage)</w:t>
      </w:r>
    </w:p>
    <w:p>
      <w:pPr>
        <w:pStyle w:val="Normal"/>
        <w:rPr>
          <w:rFonts w:cs="Arial"/>
          <w:sz w:val="18"/>
          <w:szCs w:val="18"/>
          <w:lang w:val="en-US"/>
        </w:rPr>
      </w:pPr>
      <w:r>
        <w:rPr>
          <w:rFonts w:cs="Arial"/>
          <w:sz w:val="18"/>
          <w:szCs w:val="18"/>
          <w:lang w:val="en-US"/>
        </w:rPr>
      </w:r>
    </w:p>
    <w:p>
      <w:pPr>
        <w:pStyle w:val="Normal"/>
        <w:rPr>
          <w:rFonts w:cs="Arial"/>
          <w:sz w:val="18"/>
          <w:szCs w:val="18"/>
          <w:lang w:val="en-US"/>
        </w:rPr>
      </w:pPr>
      <w:r>
        <w:rPr>
          <w:rFonts w:cs="Arial"/>
          <w:sz w:val="18"/>
          <w:szCs w:val="18"/>
          <w:lang w:val="en-US"/>
        </w:rPr>
      </w:r>
    </w:p>
    <w:p>
      <w:pPr>
        <w:pStyle w:val="Normal"/>
        <w:rPr>
          <w:rFonts w:cs="Arial"/>
          <w:sz w:val="18"/>
          <w:szCs w:val="18"/>
          <w:lang w:val="en-US"/>
        </w:rPr>
      </w:pPr>
      <w:r>
        <w:rPr>
          <w:rFonts w:cs="Arial"/>
          <w:sz w:val="18"/>
          <w:szCs w:val="18"/>
          <w:lang w:val="en-US"/>
        </w:rPr>
      </w:r>
    </w:p>
    <w:p>
      <w:pPr>
        <w:pStyle w:val="Normal"/>
        <w:rPr>
          <w:b/>
          <w:b/>
          <w:sz w:val="16"/>
          <w:szCs w:val="16"/>
          <w:lang w:val="en-US"/>
        </w:rPr>
      </w:pPr>
      <w:r>
        <w:rPr>
          <w:rFonts w:cs="Arial"/>
          <w:sz w:val="18"/>
          <w:szCs w:val="18"/>
          <w:lang w:val="en-US"/>
        </w:rPr>
        <w:t>Legal notice: SPAK Tirol, spaktirol@gmail.com; last updated: January 202</w:t>
      </w:r>
      <w:r>
        <w:rPr>
          <w:rFonts w:cs="Arial"/>
          <w:sz w:val="18"/>
          <w:szCs w:val="18"/>
          <w:lang w:val="en-US"/>
        </w:rPr>
        <w:t>4</w:t>
      </w:r>
      <w:r>
        <w:rPr>
          <w:sz w:val="18"/>
          <w:szCs w:val="18"/>
          <w:lang w:val="en-US"/>
        </w:rPr>
        <w:t xml:space="preserve">                       </w:t>
      </w:r>
      <w:r>
        <w:rPr>
          <w:b/>
          <w:sz w:val="16"/>
          <w:szCs w:val="16"/>
          <w:lang w:val="en-US"/>
        </w:rPr>
        <w:t xml:space="preserve">        </w:t>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rPr>
          <w:b/>
          <w:b/>
          <w:sz w:val="16"/>
          <w:szCs w:val="16"/>
          <w:lang w:val="en-US"/>
        </w:rPr>
      </w:pPr>
      <w:r>
        <w:rPr>
          <w:b/>
          <w:sz w:val="16"/>
          <w:szCs w:val="16"/>
          <w:lang w:val="en-US"/>
        </w:rPr>
      </w:r>
    </w:p>
    <w:p>
      <w:pPr>
        <w:pStyle w:val="Normal"/>
        <w:jc w:val="right"/>
        <w:rPr>
          <w:sz w:val="16"/>
          <w:szCs w:val="16"/>
          <w:lang w:val="en-US"/>
        </w:rPr>
      </w:pPr>
      <w:r>
        <w:rPr>
          <w:b/>
          <w:sz w:val="16"/>
          <w:szCs w:val="16"/>
          <w:lang w:val="en-US"/>
        </w:rPr>
        <w:t>page 5</w:t>
      </w:r>
    </w:p>
    <w:sectPr>
      <w:type w:val="nextPage"/>
      <w:pgSz w:w="11906" w:h="16838"/>
      <w:pgMar w:left="794" w:right="794" w:gutter="0" w:header="0" w:top="680" w:footer="0" w:bottom="68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Wingdings">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d6a76"/>
    <w:pPr>
      <w:widowControl/>
      <w:suppressAutoHyphens w:val="false"/>
      <w:bidi w:val="0"/>
      <w:spacing w:before="0" w:after="0"/>
      <w:jc w:val="left"/>
    </w:pPr>
    <w:rPr>
      <w:rFonts w:ascii="Arial" w:hAnsi="Arial" w:eastAsia="Times New Roman" w:cs="Times New Roman"/>
      <w:color w:val="auto"/>
      <w:kern w:val="0"/>
      <w:sz w:val="20"/>
      <w:szCs w:val="24"/>
      <w:lang w:val="de-AT" w:eastAsia="de-DE" w:bidi="ar-SA"/>
    </w:rPr>
  </w:style>
  <w:style w:type="paragraph" w:styleId="Berschrift1">
    <w:name w:val="Heading 1"/>
    <w:basedOn w:val="Normal"/>
    <w:next w:val="Normal"/>
    <w:qFormat/>
    <w:pPr>
      <w:keepNext w:val="true"/>
      <w:tabs>
        <w:tab w:val="clear" w:pos="708"/>
        <w:tab w:val="left" w:pos="227" w:leader="none"/>
      </w:tabs>
      <w:spacing w:lineRule="atLeast" w:line="260"/>
      <w:outlineLvl w:val="0"/>
    </w:pPr>
    <w:rPr>
      <w:rFonts w:eastAsia="Lucida Grande" w:cs="Arial"/>
      <w:b/>
      <w:sz w:val="22"/>
      <w:szCs w:val="20"/>
      <w:lang w:val="de-DE"/>
    </w:rPr>
  </w:style>
  <w:style w:type="paragraph" w:styleId="Berschrift2">
    <w:name w:val="Heading 2"/>
    <w:basedOn w:val="Normal"/>
    <w:next w:val="Normal"/>
    <w:qFormat/>
    <w:pPr>
      <w:keepNext w:val="true"/>
      <w:outlineLvl w:val="1"/>
    </w:pPr>
    <w:rPr>
      <w:rFonts w:eastAsia="Lucida Grande"/>
      <w:b/>
      <w:bCs/>
      <w:szCs w:val="20"/>
      <w:lang w:val="de-DE"/>
    </w:rPr>
  </w:style>
  <w:style w:type="character" w:styleId="DefaultParagraphFont" w:default="1">
    <w:name w:val="Default Paragraph Font"/>
    <w:uiPriority w:val="1"/>
    <w:semiHidden/>
    <w:unhideWhenUsed/>
    <w:qFormat/>
    <w:rPr/>
  </w:style>
  <w:style w:type="character" w:styleId="Endnotenzeichen">
    <w:name w:val="Endnotenzeichen"/>
    <w:semiHidden/>
    <w:qFormat/>
    <w:rPr>
      <w:vertAlign w:val="superscript"/>
    </w:rPr>
  </w:style>
  <w:style w:type="character" w:styleId="Endnotenanker">
    <w:name w:val="Endnotenanker"/>
    <w:rPr>
      <w:vertAlign w:val="superscript"/>
    </w:rPr>
  </w:style>
  <w:style w:type="character" w:styleId="Funotenzeichen">
    <w:name w:val="Fußnotenzeichen"/>
    <w:semiHidden/>
    <w:qFormat/>
    <w:rPr>
      <w:vertAlign w:val="superscript"/>
    </w:rPr>
  </w:style>
  <w:style w:type="character" w:styleId="Funotenanker">
    <w:name w:val="Fußnotenanker"/>
    <w:rPr>
      <w:vertAlign w:val="superscript"/>
    </w:rPr>
  </w:style>
  <w:style w:type="character" w:styleId="SprechblasentextZchn" w:customStyle="1">
    <w:name w:val="Sprechblasentext Zchn"/>
    <w:basedOn w:val="DefaultParagraphFont"/>
    <w:link w:val="BalloonText"/>
    <w:uiPriority w:val="99"/>
    <w:semiHidden/>
    <w:qFormat/>
    <w:rsid w:val="00917b75"/>
    <w:rPr>
      <w:rFonts w:ascii="Tahoma" w:hAnsi="Tahoma" w:cs="Tahoma"/>
      <w:sz w:val="16"/>
      <w:szCs w:val="16"/>
      <w:lang w:val="de-AT"/>
    </w:rPr>
  </w:style>
  <w:style w:type="character" w:styleId="Internetverknpfung">
    <w:name w:val="Internetverknüpfung"/>
    <w:basedOn w:val="DefaultParagraphFont"/>
    <w:uiPriority w:val="99"/>
    <w:unhideWhenUsed/>
    <w:rsid w:val="00e17860"/>
    <w:rPr>
      <w:color w:val="0000FF" w:themeColor="hyperlink"/>
      <w:u w:val="single"/>
    </w:rPr>
  </w:style>
  <w:style w:type="character" w:styleId="KopfzeileZchn" w:customStyle="1">
    <w:name w:val="Kopfzeile Zchn"/>
    <w:basedOn w:val="DefaultParagraphFont"/>
    <w:uiPriority w:val="99"/>
    <w:qFormat/>
    <w:rsid w:val="00da09d7"/>
    <w:rPr>
      <w:rFonts w:ascii="Arial" w:hAnsi="Arial"/>
      <w:szCs w:val="24"/>
      <w:lang w:val="de-AT"/>
    </w:rPr>
  </w:style>
  <w:style w:type="character" w:styleId="FuzeileZchn" w:customStyle="1">
    <w:name w:val="Fußzeile Zchn"/>
    <w:basedOn w:val="DefaultParagraphFont"/>
    <w:uiPriority w:val="99"/>
    <w:qFormat/>
    <w:rsid w:val="00da09d7"/>
    <w:rPr>
      <w:rFonts w:ascii="Arial" w:hAnsi="Arial"/>
      <w:szCs w:val="24"/>
      <w:lang w:val="de-AT"/>
    </w:rPr>
  </w:style>
  <w:style w:type="character" w:styleId="Strong">
    <w:name w:val="Strong"/>
    <w:basedOn w:val="DefaultParagraphFont"/>
    <w:uiPriority w:val="22"/>
    <w:qFormat/>
    <w:rsid w:val="00c3380c"/>
    <w:rPr>
      <w:b/>
      <w:bCs/>
    </w:rPr>
  </w:style>
  <w:style w:type="character" w:styleId="Annotationreference">
    <w:name w:val="annotation reference"/>
    <w:basedOn w:val="DefaultParagraphFont"/>
    <w:uiPriority w:val="99"/>
    <w:semiHidden/>
    <w:unhideWhenUsed/>
    <w:qFormat/>
    <w:rsid w:val="00807252"/>
    <w:rPr>
      <w:sz w:val="16"/>
      <w:szCs w:val="16"/>
    </w:rPr>
  </w:style>
  <w:style w:type="character" w:styleId="KommentartextZchn" w:customStyle="1">
    <w:name w:val="Kommentartext Zchn"/>
    <w:basedOn w:val="DefaultParagraphFont"/>
    <w:link w:val="Annotationtext"/>
    <w:uiPriority w:val="99"/>
    <w:semiHidden/>
    <w:qFormat/>
    <w:rsid w:val="00807252"/>
    <w:rPr>
      <w:rFonts w:ascii="Arial" w:hAnsi="Arial"/>
      <w:lang w:val="de-AT"/>
    </w:rPr>
  </w:style>
  <w:style w:type="character" w:styleId="KommentarthemaZchn" w:customStyle="1">
    <w:name w:val="Kommentarthema Zchn"/>
    <w:basedOn w:val="KommentartextZchn"/>
    <w:link w:val="Annotationsubject"/>
    <w:uiPriority w:val="99"/>
    <w:semiHidden/>
    <w:qFormat/>
    <w:rsid w:val="00807252"/>
    <w:rPr>
      <w:rFonts w:ascii="Arial" w:hAnsi="Arial"/>
      <w:b/>
      <w:bCs/>
      <w:lang w:val="de-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semiHidden/>
    <w:pPr>
      <w:tabs>
        <w:tab w:val="clear" w:pos="708"/>
        <w:tab w:val="left" w:pos="227" w:leader="none"/>
      </w:tabs>
      <w:spacing w:lineRule="atLeast" w:line="260"/>
      <w:jc w:val="both"/>
    </w:pPr>
    <w:rPr>
      <w:rFonts w:ascii="Times New Roman" w:hAnsi="Times New Roman" w:eastAsia="Lucida Grande"/>
      <w:sz w:val="24"/>
      <w:szCs w:val="20"/>
      <w:lang w:val="de-DE"/>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EinzugTextkrper">
    <w:name w:val="Body Text Indent"/>
    <w:basedOn w:val="Normal"/>
    <w:semiHidden/>
    <w:pPr>
      <w:tabs>
        <w:tab w:val="clear" w:pos="708"/>
        <w:tab w:val="left" w:pos="227" w:leader="none"/>
      </w:tabs>
      <w:spacing w:lineRule="atLeast" w:line="260"/>
      <w:ind w:left="227" w:hanging="227"/>
      <w:jc w:val="both"/>
    </w:pPr>
    <w:rPr>
      <w:rFonts w:cs="Arial"/>
      <w:lang w:val="de-DE"/>
    </w:rPr>
  </w:style>
  <w:style w:type="paragraph" w:styleId="BodyTextIndent2">
    <w:name w:val="Body Text Indent 2"/>
    <w:basedOn w:val="Normal"/>
    <w:semiHidden/>
    <w:qFormat/>
    <w:pPr>
      <w:ind w:left="360" w:hanging="0"/>
    </w:pPr>
    <w:rPr>
      <w:rFonts w:eastAsia="Lucida Grande" w:cs="Arial"/>
      <w:bCs/>
      <w:szCs w:val="20"/>
      <w:lang w:val="de-DE"/>
    </w:rPr>
  </w:style>
  <w:style w:type="paragraph" w:styleId="BodyText2">
    <w:name w:val="Body Text 2"/>
    <w:basedOn w:val="Normal"/>
    <w:semiHidden/>
    <w:qFormat/>
    <w:pPr/>
    <w:rPr>
      <w:b/>
      <w:bCs/>
      <w:sz w:val="22"/>
    </w:rPr>
  </w:style>
  <w:style w:type="paragraph" w:styleId="NormalWeb">
    <w:name w:val="Normal (Web)"/>
    <w:basedOn w:val="Normal"/>
    <w:uiPriority w:val="99"/>
    <w:qFormat/>
    <w:pPr>
      <w:spacing w:beforeAutospacing="1" w:after="119"/>
    </w:pPr>
    <w:rPr>
      <w:rFonts w:ascii="Times New Roman" w:hAnsi="Times New Roman"/>
      <w:sz w:val="24"/>
    </w:rPr>
  </w:style>
  <w:style w:type="paragraph" w:styleId="Endnote">
    <w:name w:val="Endnote Text"/>
    <w:basedOn w:val="Normal"/>
    <w:semiHidden/>
    <w:pPr/>
    <w:rPr>
      <w:szCs w:val="20"/>
    </w:rPr>
  </w:style>
  <w:style w:type="paragraph" w:styleId="Funote">
    <w:name w:val="Footnote Text"/>
    <w:basedOn w:val="Normal"/>
    <w:semiHidden/>
    <w:pPr/>
    <w:rPr>
      <w:szCs w:val="20"/>
    </w:rPr>
  </w:style>
  <w:style w:type="paragraph" w:styleId="BodyText3">
    <w:name w:val="Body Text 3"/>
    <w:basedOn w:val="Normal"/>
    <w:semiHidden/>
    <w:qFormat/>
    <w:pPr>
      <w:jc w:val="both"/>
    </w:pPr>
    <w:rPr>
      <w:rFonts w:cs="Arial"/>
      <w:lang w:val="de-DE"/>
    </w:rPr>
  </w:style>
  <w:style w:type="paragraph" w:styleId="BalloonText">
    <w:name w:val="Balloon Text"/>
    <w:basedOn w:val="Normal"/>
    <w:link w:val="SprechblasentextZchn"/>
    <w:uiPriority w:val="99"/>
    <w:semiHidden/>
    <w:unhideWhenUsed/>
    <w:qFormat/>
    <w:rsid w:val="00917b75"/>
    <w:pPr/>
    <w:rPr>
      <w:rFonts w:ascii="Tahoma" w:hAnsi="Tahoma" w:cs="Tahoma"/>
      <w:sz w:val="16"/>
      <w:szCs w:val="16"/>
    </w:rPr>
  </w:style>
  <w:style w:type="paragraph" w:styleId="ListParagraph">
    <w:name w:val="List Paragraph"/>
    <w:basedOn w:val="Normal"/>
    <w:uiPriority w:val="34"/>
    <w:qFormat/>
    <w:rsid w:val="009364d8"/>
    <w:pPr>
      <w:spacing w:before="0" w:after="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da09d7"/>
    <w:pPr>
      <w:tabs>
        <w:tab w:val="clear" w:pos="708"/>
        <w:tab w:val="center" w:pos="4536" w:leader="none"/>
        <w:tab w:val="right" w:pos="9072" w:leader="none"/>
      </w:tabs>
    </w:pPr>
    <w:rPr/>
  </w:style>
  <w:style w:type="paragraph" w:styleId="Fuzeile">
    <w:name w:val="Footer"/>
    <w:basedOn w:val="Normal"/>
    <w:link w:val="FuzeileZchn"/>
    <w:uiPriority w:val="99"/>
    <w:unhideWhenUsed/>
    <w:rsid w:val="00da09d7"/>
    <w:pPr>
      <w:tabs>
        <w:tab w:val="clear" w:pos="708"/>
        <w:tab w:val="center" w:pos="4536" w:leader="none"/>
        <w:tab w:val="right" w:pos="9072" w:leader="none"/>
      </w:tabs>
    </w:pPr>
    <w:rPr/>
  </w:style>
  <w:style w:type="paragraph" w:styleId="Annotationtext">
    <w:name w:val="annotation text"/>
    <w:basedOn w:val="Normal"/>
    <w:link w:val="KommentartextZchn"/>
    <w:uiPriority w:val="99"/>
    <w:semiHidden/>
    <w:unhideWhenUsed/>
    <w:qFormat/>
    <w:rsid w:val="00807252"/>
    <w:pPr/>
    <w:rPr>
      <w:szCs w:val="20"/>
    </w:rPr>
  </w:style>
  <w:style w:type="paragraph" w:styleId="Annotationsubject">
    <w:name w:val="annotation subject"/>
    <w:basedOn w:val="Annotationtext"/>
    <w:next w:val="Annotationtext"/>
    <w:link w:val="KommentarthemaZchn"/>
    <w:uiPriority w:val="99"/>
    <w:semiHidden/>
    <w:unhideWhenUsed/>
    <w:qFormat/>
    <w:rsid w:val="00807252"/>
    <w:pPr/>
    <w:rPr>
      <w:b/>
      <w:bCs/>
    </w:rPr>
  </w:style>
  <w:style w:type="paragraph" w:styleId="TableParagraph">
    <w:name w:val="Table Paragraph"/>
    <w:basedOn w:val="Normal"/>
    <w:qFormat/>
    <w:pPr>
      <w:spacing w:lineRule="exact" w:line="206"/>
      <w:jc w:val="right"/>
    </w:pPr>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d239b8"/>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indestsicherungtirol.at/" TargetMode="Externa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DD5B0-206F-4DC5-A71B-CC170518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Application>LibreOffice/7.3.7.2$Linux_X86_64 LibreOffice_project/30$Build-2</Application>
  <AppVersion>15.0000</AppVersion>
  <Pages>5</Pages>
  <Words>2794</Words>
  <Characters>14370</Characters>
  <CharactersWithSpaces>16909</CharactersWithSpaces>
  <Paragraphs>305</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2023-12-29T08:42:00Z</dcterms:created>
  <dc:creator>station5</dc:creator>
  <dc:description/>
  <dc:language>de-AT</dc:language>
  <cp:lastModifiedBy/>
  <cp:lastPrinted>2020-12-29T09:59:00Z</cp:lastPrinted>
  <dcterms:modified xsi:type="dcterms:W3CDTF">2024-01-01T19:11:27Z</dcterms:modified>
  <cp:revision>10</cp:revision>
  <dc:subject/>
  <dc:title>Informationen zur Mindestsicherung in Tirol</dc:title>
</cp:coreProperties>
</file>

<file path=docProps/custom.xml><?xml version="1.0" encoding="utf-8"?>
<Properties xmlns="http://schemas.openxmlformats.org/officeDocument/2006/custom-properties" xmlns:vt="http://schemas.openxmlformats.org/officeDocument/2006/docPropsVTypes"/>
</file>